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5A" w:rsidRDefault="0067305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7305A" w:rsidRDefault="0067305A">
      <w:pPr>
        <w:pStyle w:val="ConsPlusNormal"/>
        <w:jc w:val="both"/>
        <w:outlineLvl w:val="0"/>
      </w:pPr>
    </w:p>
    <w:p w:rsidR="0067305A" w:rsidRDefault="0067305A">
      <w:pPr>
        <w:pStyle w:val="ConsPlusTitle"/>
        <w:jc w:val="center"/>
        <w:outlineLvl w:val="0"/>
      </w:pPr>
      <w:r>
        <w:t>АДМИНИСТРАЦИЯ СЕРОВСКОГО ГОРОДСКОГО ОКРУГА</w:t>
      </w:r>
    </w:p>
    <w:p w:rsidR="0067305A" w:rsidRDefault="0067305A">
      <w:pPr>
        <w:pStyle w:val="ConsPlusTitle"/>
        <w:jc w:val="center"/>
      </w:pPr>
    </w:p>
    <w:p w:rsidR="0067305A" w:rsidRDefault="0067305A">
      <w:pPr>
        <w:pStyle w:val="ConsPlusTitle"/>
        <w:jc w:val="center"/>
      </w:pPr>
      <w:r>
        <w:t>ПОСТАНОВЛЕНИЕ</w:t>
      </w:r>
    </w:p>
    <w:p w:rsidR="0067305A" w:rsidRDefault="0067305A">
      <w:pPr>
        <w:pStyle w:val="ConsPlusTitle"/>
        <w:jc w:val="center"/>
      </w:pPr>
      <w:r>
        <w:t>от 26 мая 2020 г. N 761</w:t>
      </w:r>
    </w:p>
    <w:p w:rsidR="0067305A" w:rsidRDefault="0067305A">
      <w:pPr>
        <w:pStyle w:val="ConsPlusTitle"/>
        <w:jc w:val="center"/>
      </w:pPr>
    </w:p>
    <w:p w:rsidR="0067305A" w:rsidRDefault="0067305A">
      <w:pPr>
        <w:pStyle w:val="ConsPlusTitle"/>
        <w:jc w:val="center"/>
      </w:pPr>
      <w:r>
        <w:t>ОБ УТВЕРЖДЕНИИ ПОРЯДКА ОПРЕДЕЛЕНИЯ ОБЪЕМА И УСЛОВИЙ</w:t>
      </w:r>
    </w:p>
    <w:p w:rsidR="0067305A" w:rsidRDefault="0067305A">
      <w:pPr>
        <w:pStyle w:val="ConsPlusTitle"/>
        <w:jc w:val="center"/>
      </w:pPr>
      <w:r>
        <w:t>ПРЕДОСТАВЛЕНИЯ СУБСИДИЙ НЕКОММЕРЧЕСКИМ ОРГАНИЗАЦИЯМ,</w:t>
      </w:r>
    </w:p>
    <w:p w:rsidR="0067305A" w:rsidRDefault="0067305A">
      <w:pPr>
        <w:pStyle w:val="ConsPlusTitle"/>
        <w:jc w:val="center"/>
      </w:pPr>
      <w:proofErr w:type="gramStart"/>
      <w:r>
        <w:t>НЕ ЯВЛЯЮЩИМСЯ ГОСУДАРСТВЕННЫМИ (МУНИЦИПАЛЬНЫМИ) УЧРЕЖДЕНИЯМИ</w:t>
      </w:r>
      <w:proofErr w:type="gramEnd"/>
    </w:p>
    <w:p w:rsidR="0067305A" w:rsidRDefault="0067305A">
      <w:pPr>
        <w:pStyle w:val="ConsPlusTitle"/>
        <w:jc w:val="center"/>
      </w:pPr>
      <w:r>
        <w:t>И ОБРАЗУЮЩИМ ИНФРАСТРУКТУРУ ПОДДЕРЖКИ СУБЪЕКТОВ</w:t>
      </w:r>
    </w:p>
    <w:p w:rsidR="0067305A" w:rsidRDefault="0067305A">
      <w:pPr>
        <w:pStyle w:val="ConsPlusTitle"/>
        <w:jc w:val="center"/>
      </w:pPr>
      <w:r>
        <w:t>МАЛОГО И СРЕДНЕГО ПРЕДПРИНИМАТЕЛЬСТВА</w:t>
      </w:r>
    </w:p>
    <w:p w:rsidR="0067305A" w:rsidRDefault="006730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777"/>
        <w:gridCol w:w="113"/>
      </w:tblGrid>
      <w:tr w:rsidR="006730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05A" w:rsidRDefault="006730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05A" w:rsidRDefault="006730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Серовского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  <w:proofErr w:type="gramEnd"/>
          </w:p>
          <w:p w:rsidR="0067305A" w:rsidRDefault="006730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5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30.12.2021 </w:t>
            </w:r>
            <w:hyperlink r:id="rId6" w:history="1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17.11.2014</w:t>
      </w:r>
      <w:proofErr w:type="gramEnd"/>
      <w:r>
        <w:t xml:space="preserve"> </w:t>
      </w:r>
      <w:proofErr w:type="gramStart"/>
      <w:r>
        <w:t xml:space="preserve">N 1002-ПП "Об утверждении государственной программы Свердловской области "Повышение инвестиционной привлекательности Свердловской области до 2024 года", в целях реализации муниципальной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"Содействие развитию малого и среднего предпринимательства в </w:t>
      </w:r>
      <w:proofErr w:type="spellStart"/>
      <w:r>
        <w:t>Серовском</w:t>
      </w:r>
      <w:proofErr w:type="spellEnd"/>
      <w:r>
        <w:t xml:space="preserve"> городском округе до 2024 года", утвержденной Постановлением администрации </w:t>
      </w:r>
      <w:proofErr w:type="spellStart"/>
      <w:r>
        <w:t>Серовского</w:t>
      </w:r>
      <w:proofErr w:type="spellEnd"/>
      <w:r>
        <w:t xml:space="preserve"> городского округа от 12.04.2019 N 853, руководствуясь </w:t>
      </w:r>
      <w:hyperlink r:id="rId12" w:history="1">
        <w:r>
          <w:rPr>
            <w:color w:val="0000FF"/>
          </w:rPr>
          <w:t>ст. 26</w:t>
        </w:r>
      </w:hyperlink>
      <w:r>
        <w:t xml:space="preserve"> Устава </w:t>
      </w:r>
      <w:proofErr w:type="spellStart"/>
      <w:r>
        <w:t>Серовского</w:t>
      </w:r>
      <w:proofErr w:type="spellEnd"/>
      <w:r>
        <w:t xml:space="preserve"> городского округа, постановляет:</w:t>
      </w:r>
      <w:proofErr w:type="gramEnd"/>
    </w:p>
    <w:p w:rsidR="0067305A" w:rsidRDefault="0067305A">
      <w:pPr>
        <w:pStyle w:val="ConsPlusNormal"/>
        <w:spacing w:before="220"/>
        <w:ind w:firstLine="540"/>
        <w:jc w:val="both"/>
      </w:pPr>
      <w:r>
        <w:t>1. Утвердить:</w:t>
      </w:r>
    </w:p>
    <w:p w:rsidR="0067305A" w:rsidRDefault="0067305A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 (прилагается);</w:t>
      </w:r>
      <w:proofErr w:type="gramEnd"/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2) </w:t>
      </w:r>
      <w:hyperlink w:anchor="P561" w:history="1">
        <w:r>
          <w:rPr>
            <w:color w:val="0000FF"/>
          </w:rPr>
          <w:t>Положение</w:t>
        </w:r>
      </w:hyperlink>
      <w:r>
        <w:t xml:space="preserve"> о комиссии по предоставлению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 (прилагается);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3) </w:t>
      </w:r>
      <w:hyperlink w:anchor="P626" w:history="1">
        <w:r>
          <w:rPr>
            <w:color w:val="0000FF"/>
          </w:rPr>
          <w:t>состав</w:t>
        </w:r>
      </w:hyperlink>
      <w:r>
        <w:t xml:space="preserve"> комиссии по предоставлению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 (прилагается).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</w:t>
      </w:r>
      <w:proofErr w:type="spellStart"/>
      <w:r>
        <w:t>Серовский</w:t>
      </w:r>
      <w:proofErr w:type="spellEnd"/>
      <w:r>
        <w:t xml:space="preserve"> рабочий".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</w:t>
      </w:r>
      <w:proofErr w:type="gramStart"/>
      <w:r>
        <w:t>на</w:t>
      </w:r>
      <w:proofErr w:type="gramEnd"/>
      <w:r>
        <w:t xml:space="preserve"> оставляю за собой.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</w:pPr>
      <w:r>
        <w:t>Глава</w:t>
      </w:r>
    </w:p>
    <w:p w:rsidR="0067305A" w:rsidRDefault="0067305A">
      <w:pPr>
        <w:pStyle w:val="ConsPlusNormal"/>
        <w:jc w:val="right"/>
      </w:pPr>
      <w:proofErr w:type="spellStart"/>
      <w:r>
        <w:t>Серовского</w:t>
      </w:r>
      <w:proofErr w:type="spellEnd"/>
      <w:r>
        <w:t xml:space="preserve"> городского округа</w:t>
      </w:r>
    </w:p>
    <w:p w:rsidR="0067305A" w:rsidRDefault="0067305A">
      <w:pPr>
        <w:pStyle w:val="ConsPlusNormal"/>
        <w:jc w:val="right"/>
      </w:pPr>
      <w:r>
        <w:t>В.В.СИЗИКОВ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  <w:outlineLvl w:val="0"/>
      </w:pPr>
    </w:p>
    <w:p w:rsidR="0067305A" w:rsidRDefault="0067305A">
      <w:pPr>
        <w:pStyle w:val="ConsPlusNormal"/>
        <w:jc w:val="right"/>
        <w:outlineLvl w:val="0"/>
      </w:pPr>
      <w:r>
        <w:t>Утвержден</w:t>
      </w:r>
    </w:p>
    <w:p w:rsidR="0067305A" w:rsidRDefault="0067305A">
      <w:pPr>
        <w:pStyle w:val="ConsPlusNormal"/>
        <w:jc w:val="right"/>
      </w:pPr>
      <w:r>
        <w:t>Постановлением администрации</w:t>
      </w:r>
    </w:p>
    <w:p w:rsidR="0067305A" w:rsidRDefault="0067305A">
      <w:pPr>
        <w:pStyle w:val="ConsPlusNormal"/>
        <w:jc w:val="right"/>
      </w:pPr>
      <w:proofErr w:type="spellStart"/>
      <w:r>
        <w:lastRenderedPageBreak/>
        <w:t>Серовского</w:t>
      </w:r>
      <w:proofErr w:type="spellEnd"/>
      <w:r>
        <w:t xml:space="preserve"> городского округа</w:t>
      </w:r>
    </w:p>
    <w:p w:rsidR="0067305A" w:rsidRDefault="0067305A">
      <w:pPr>
        <w:pStyle w:val="ConsPlusNormal"/>
        <w:jc w:val="right"/>
      </w:pPr>
      <w:r>
        <w:t>от 26 мая 2020 г. N 761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</w:pPr>
      <w:bookmarkStart w:id="0" w:name="P36"/>
      <w:bookmarkEnd w:id="0"/>
      <w:r>
        <w:t>ПОРЯДОК</w:t>
      </w:r>
    </w:p>
    <w:p w:rsidR="0067305A" w:rsidRDefault="0067305A">
      <w:pPr>
        <w:pStyle w:val="ConsPlusTitle"/>
        <w:jc w:val="center"/>
      </w:pPr>
      <w:r>
        <w:t>ОПРЕДЕЛЕНИЯ ОБЪЕМА И УСЛОВИЙ ПРЕДОСТАВЛЕНИЯ СУБСИДИЙ</w:t>
      </w:r>
    </w:p>
    <w:p w:rsidR="0067305A" w:rsidRDefault="0067305A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67305A" w:rsidRDefault="0067305A">
      <w:pPr>
        <w:pStyle w:val="ConsPlusTitle"/>
        <w:jc w:val="center"/>
      </w:pPr>
      <w:r>
        <w:t>(МУНИЦИПАЛЬНЫМИ) УЧРЕЖДЕНИЯМИ И ОБРАЗУЮЩИМ ИНФРАСТРУКТУРУ</w:t>
      </w:r>
    </w:p>
    <w:p w:rsidR="0067305A" w:rsidRDefault="0067305A">
      <w:pPr>
        <w:pStyle w:val="ConsPlusTitle"/>
        <w:jc w:val="center"/>
      </w:pPr>
      <w:r>
        <w:t>ПОДДЕРЖКИ СУБЪЕКТОВ МАЛОГО И СРЕДНЕГО ПРЕДПРИНИМАТЕЛЬСТВА</w:t>
      </w:r>
    </w:p>
    <w:p w:rsidR="0067305A" w:rsidRDefault="006730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777"/>
        <w:gridCol w:w="113"/>
      </w:tblGrid>
      <w:tr w:rsidR="006730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05A" w:rsidRDefault="006730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05A" w:rsidRDefault="006730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Серовского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  <w:proofErr w:type="gramEnd"/>
          </w:p>
          <w:p w:rsidR="0067305A" w:rsidRDefault="0067305A">
            <w:pPr>
              <w:pStyle w:val="ConsPlusNormal"/>
              <w:jc w:val="center"/>
            </w:pPr>
            <w:r>
              <w:rPr>
                <w:color w:val="392C69"/>
              </w:rPr>
              <w:t>от 30.12.2021 N 1741)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  <w:outlineLvl w:val="1"/>
      </w:pPr>
      <w:r>
        <w:t>Раздел I. ОБЩИЕ ПОЛОЖЕНИЯ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объем и условия предоставления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 из бюджета </w:t>
      </w:r>
      <w:proofErr w:type="spellStart"/>
      <w:r>
        <w:t>Серовского</w:t>
      </w:r>
      <w:proofErr w:type="spellEnd"/>
      <w:r>
        <w:t xml:space="preserve"> городского округа на реализацию мероприятий муниципальной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"Содействие развитию малого и среднего предпринимательства в </w:t>
      </w:r>
      <w:proofErr w:type="spellStart"/>
      <w:r>
        <w:t>Серовском</w:t>
      </w:r>
      <w:proofErr w:type="spellEnd"/>
      <w:r>
        <w:t xml:space="preserve"> городском округе до 2024 года", утвержденной Постановлением администрации </w:t>
      </w:r>
      <w:proofErr w:type="spellStart"/>
      <w:r>
        <w:t>Серовского</w:t>
      </w:r>
      <w:proofErr w:type="spellEnd"/>
      <w:r>
        <w:t xml:space="preserve"> городского округа от 12.04.2019 N 853 (далее - Программа).</w:t>
      </w:r>
      <w:proofErr w:type="gramEnd"/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Порядок разработан в соответствии с </w:t>
      </w:r>
      <w:hyperlink r:id="rId15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>
        <w:t xml:space="preserve">, </w:t>
      </w:r>
      <w:proofErr w:type="gramStart"/>
      <w:r>
        <w:t xml:space="preserve">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17.11.2014 N 1002-ПП "Об утверждении государственной программы Свердловской области "Повышение инвестиционной привлекательности Свердловской области до 2024 года" в целях реализации Программы.</w:t>
      </w:r>
      <w:proofErr w:type="gramEnd"/>
    </w:p>
    <w:p w:rsidR="0067305A" w:rsidRDefault="0067305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Серовского</w:t>
      </w:r>
      <w:proofErr w:type="spellEnd"/>
      <w:r>
        <w:t xml:space="preserve"> городского округа от 30.12.2021 N 1741)</w:t>
      </w:r>
    </w:p>
    <w:p w:rsidR="0067305A" w:rsidRDefault="0067305A">
      <w:pPr>
        <w:pStyle w:val="ConsPlusNormal"/>
        <w:spacing w:before="220"/>
        <w:ind w:firstLine="540"/>
        <w:jc w:val="both"/>
      </w:pPr>
      <w:bookmarkStart w:id="1" w:name="P50"/>
      <w:bookmarkEnd w:id="1"/>
      <w:r>
        <w:t>3. Субсидии предоставляются в целях реализации мероприятия Программы - обеспечение деятельности организаций, образующих инфраструктуру поддержки субъектов малого и среднего предпринимательства, на следующие направления: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1) "Пропаганда и популяризация предпринимательской деятельности", в том числе: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информационные семинары по повышению предпринимательской грамотности;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турниры по деловым переговорам и форумы предпринимателей;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семинары-тренинги "Школа бизнеса";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конкурсы профессионального мастерства;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семинары и индивидуальные консультации по вопросам участия в конкурсах в целях получения государственной поддержки;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2) обеспечение функционирования раздела муниципального образования на официальном сайте Свердловской области в сфере развития малого и среднего предпринимательства (www.66msp.ru).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4. Предоставление субсидий осуществляется за счет бюджета </w:t>
      </w:r>
      <w:proofErr w:type="spellStart"/>
      <w:r>
        <w:t>Серовского</w:t>
      </w:r>
      <w:proofErr w:type="spellEnd"/>
      <w:r>
        <w:t xml:space="preserve"> городского округа в пределах средств, предусмотренных на текущий финансовый год на реализацию Программы, и лимитов бюджетных обязательств, утвержденных на соответствующий финансовый год на эти цели.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lastRenderedPageBreak/>
        <w:t xml:space="preserve">5. Главным распорядителем средств бюджета </w:t>
      </w:r>
      <w:proofErr w:type="spellStart"/>
      <w:r>
        <w:t>Серовского</w:t>
      </w:r>
      <w:proofErr w:type="spellEnd"/>
      <w:r>
        <w:t xml:space="preserve"> городского округа, предусмотренных на предоставление субсидий, является администрация </w:t>
      </w:r>
      <w:proofErr w:type="spellStart"/>
      <w:r>
        <w:t>Серовского</w:t>
      </w:r>
      <w:proofErr w:type="spellEnd"/>
      <w:r>
        <w:t xml:space="preserve"> городского округа (далее - Администрация).</w:t>
      </w:r>
    </w:p>
    <w:p w:rsidR="0067305A" w:rsidRDefault="0067305A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6. </w:t>
      </w:r>
      <w:proofErr w:type="gramStart"/>
      <w:r>
        <w:t xml:space="preserve">Право на получение субсидии имеют некоммерческие организации, не являющиеся государственными (муниципальными) учреждениями, образующие в соответствии со </w:t>
      </w:r>
      <w:hyperlink r:id="rId20" w:history="1">
        <w:r>
          <w:rPr>
            <w:color w:val="0000FF"/>
          </w:rPr>
          <w:t>статьей 15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инфраструктуру поддержки субъектов малого и среднего предпринимательства, зарегистрированные и осуществляющие деятельность на территории </w:t>
      </w:r>
      <w:proofErr w:type="spellStart"/>
      <w:r>
        <w:t>Серовского</w:t>
      </w:r>
      <w:proofErr w:type="spellEnd"/>
      <w:r>
        <w:t xml:space="preserve"> городского округа (далее - организации).</w:t>
      </w:r>
      <w:proofErr w:type="gramEnd"/>
    </w:p>
    <w:p w:rsidR="0067305A" w:rsidRDefault="0067305A">
      <w:pPr>
        <w:pStyle w:val="ConsPlusNormal"/>
        <w:spacing w:before="220"/>
        <w:ind w:firstLine="540"/>
        <w:jc w:val="both"/>
      </w:pPr>
      <w:r>
        <w:t>7. Субсидия предоставляется организации - победителю конкурса на право получения субсидии.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8. В целях определения организации - победителя конкурса на право получения субсидии постановлением Администрации утверждается состав комиссии по предоставлению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 (далее - Комиссия).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9. Критериями отбора получателей субсидии являются: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1) регистрация организаций, претендующих на получение субсидии, в качестве юридического лица в организационно-правовой форме унитарной некоммерческой организации;</w:t>
      </w:r>
    </w:p>
    <w:p w:rsidR="0067305A" w:rsidRDefault="0067305A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представление организациями, претендующими на получение субсидии, в полном объеме достоверных сведений и документов, указанных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настоящего Порядка;</w:t>
      </w:r>
      <w:proofErr w:type="gramEnd"/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3) соответствие организаций, претендующих на получение субсидии, условиям, предъявляемым к таким организациям в соответствии с нормами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 и предусмотренным </w:t>
      </w:r>
      <w:hyperlink w:anchor="P60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4) отсутствие у организаций, претендующих на получение субсидии, неисполненной обязанности по уплате налогов, сборов, пеней и налоговых санкций, подлежащих уплате в соответствии с действующим законодательством Российской Федерации о налогах и сборах, и иной просроченной задолженности перед соответствующим бюджетом бюджетной системы Российской Федерации;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5) признание Комиссией заявки организации, победившей в конкурсном отборе.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  <w:outlineLvl w:val="1"/>
      </w:pPr>
      <w:r>
        <w:t>Раздел II. УСЛОВИЯ И ПОРЯДОК ПРЕДОСТАВЛЕНИЯ СУБСИДИЙ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bookmarkStart w:id="3" w:name="P72"/>
      <w:bookmarkEnd w:id="3"/>
      <w:r>
        <w:t>10. К участию в конкурсе на право получения субсидии допускаются организации, подавшие заявки о предоставлении субсидии.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В состав заявки входят следующие документы: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1) </w:t>
      </w:r>
      <w:hyperlink w:anchor="P227" w:history="1">
        <w:r>
          <w:rPr>
            <w:color w:val="0000FF"/>
          </w:rPr>
          <w:t>заявление</w:t>
        </w:r>
      </w:hyperlink>
      <w:r>
        <w:t xml:space="preserve"> на предоставление субсидии по форме согласно приложению N 1 к настоящему Порядку;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2) копия устава организации, заверенная подписью руководителя и печатью юридического лица;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3) выписка из Единого государственного реестра юридических лиц, заверенная подписью руководителя и печатью юридического лица, сформированная не ранее чем за тридцать календарных дней до дня представления документов в Администрацию;</w:t>
      </w:r>
    </w:p>
    <w:p w:rsidR="0067305A" w:rsidRDefault="0067305A">
      <w:pPr>
        <w:pStyle w:val="ConsPlusNormal"/>
        <w:spacing w:before="220"/>
        <w:ind w:firstLine="540"/>
        <w:jc w:val="both"/>
      </w:pPr>
      <w:proofErr w:type="gramStart"/>
      <w:r>
        <w:t>4) документ, подтверждающий отсутствие неисполненной обязанности по уплате налогов, сборов, пеней и налоговых санкций, подлежащих уплате в соответствии с действующим законодательством Российской Федерации, а также иной просроченной задолженности перед соответствующим бюджетом бюджетной системы Российской Федерации, заверенный подписью уполномоченного лица и печатью территориального налогового органа, выданный не ранее чем за тридцать календарных дней до дня представления документов в Администрацию;</w:t>
      </w:r>
      <w:proofErr w:type="gramEnd"/>
    </w:p>
    <w:p w:rsidR="0067305A" w:rsidRDefault="0067305A">
      <w:pPr>
        <w:pStyle w:val="ConsPlusNormal"/>
        <w:spacing w:before="220"/>
        <w:ind w:firstLine="540"/>
        <w:jc w:val="both"/>
      </w:pPr>
      <w:r>
        <w:lastRenderedPageBreak/>
        <w:t>5) аналитический отчет, содержащий сведения об эффективности реализации мероприятий муниципальной программы по содействию развитию малого и среднего предпринимательства за предшествующий год, заверенный подписью руководителя и печатью юридического лица, отражающий: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общее число участников мероприятия "Пропаганда и популяризация предпринимательской деятельности", в том числе: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а) информационные семинары по повышению предпринимательской грамотности;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б) турниры по деловым переговорам и форумы предпринимателей;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в) семинары-тренинги "Школа бизнеса";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г) конкурсы профессионального мастерства;</w:t>
      </w:r>
    </w:p>
    <w:p w:rsidR="0067305A" w:rsidRDefault="0067305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семинары и индивидуальные консультации по вопросам участия в конкурсах в целях получения государственной поддержки;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обеспечение функционирования раздела муниципального образования на официальном сайте Свердловской области в сфере развития малого и среднего предпринимательства (www.66msp.ru);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6) </w:t>
      </w:r>
      <w:hyperlink w:anchor="P281" w:history="1">
        <w:r>
          <w:rPr>
            <w:color w:val="0000FF"/>
          </w:rPr>
          <w:t>план</w:t>
        </w:r>
      </w:hyperlink>
      <w:r>
        <w:t xml:space="preserve"> работы организации на соответствующий год по форме согласно приложению N 2 к настоящему Порядку, заверенный подписью руководителя и печатью юридического лица;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7) </w:t>
      </w:r>
      <w:hyperlink w:anchor="P337" w:history="1">
        <w:r>
          <w:rPr>
            <w:color w:val="0000FF"/>
          </w:rPr>
          <w:t>направления</w:t>
        </w:r>
      </w:hyperlink>
      <w:r>
        <w:t xml:space="preserve"> расходования субсидии на соответствующий год по форме согласно приложению N 3 к настоящему Порядку, заверенные подписью руководителя и печатью юридического лица.</w:t>
      </w:r>
    </w:p>
    <w:p w:rsidR="0067305A" w:rsidRDefault="0067305A">
      <w:pPr>
        <w:pStyle w:val="ConsPlusNormal"/>
        <w:spacing w:before="220"/>
        <w:ind w:firstLine="540"/>
        <w:jc w:val="both"/>
      </w:pPr>
      <w:bookmarkStart w:id="4" w:name="P88"/>
      <w:bookmarkEnd w:id="4"/>
      <w:r>
        <w:t xml:space="preserve">11. К документам, указанным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настоящего Порядка, предъявляются следующие обязательные требования: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оформление на русском языке;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отсутствие подчисток и исправлений. Допустимы исправления, оформленные в соответствии с установленными правилами делопроизводства;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документы должны быть пронумерованы, прошнурованы, скреплены подписью и печатью организации.</w:t>
      </w:r>
    </w:p>
    <w:p w:rsidR="0067305A" w:rsidRDefault="0067305A">
      <w:pPr>
        <w:pStyle w:val="ConsPlusNormal"/>
        <w:spacing w:before="220"/>
        <w:ind w:firstLine="540"/>
        <w:jc w:val="both"/>
      </w:pPr>
      <w:bookmarkStart w:id="5" w:name="P92"/>
      <w:bookmarkEnd w:id="5"/>
      <w:r>
        <w:t xml:space="preserve">12. Прием заявок на предоставление субсидии осуществляется один раз в год с 5 по 15 марта, а в 2020 году в течение 10 календарных дней </w:t>
      </w:r>
      <w:proofErr w:type="gramStart"/>
      <w:r>
        <w:t>с даты опубликования</w:t>
      </w:r>
      <w:proofErr w:type="gramEnd"/>
      <w:r>
        <w:t xml:space="preserve"> настоящего Порядка.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13. Заявка подается в комитет экономики администрации </w:t>
      </w:r>
      <w:proofErr w:type="spellStart"/>
      <w:r>
        <w:t>Серовского</w:t>
      </w:r>
      <w:proofErr w:type="spellEnd"/>
      <w:r>
        <w:t xml:space="preserve"> городского округа (далее - Комитет) по адресу: город Серов, улица Ленина, дом 140, кабинет 45.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14. Комитет проводит проверку заявок и представленных документов и принимает решение о приеме документов или об отказе в приеме документов в срок не более 10 календарных дней </w:t>
      </w:r>
      <w:proofErr w:type="gramStart"/>
      <w:r>
        <w:t>с даты окончания</w:t>
      </w:r>
      <w:proofErr w:type="gramEnd"/>
      <w:r>
        <w:t xml:space="preserve"> приема заявок.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15. Комитет принимает решение об отказе в приеме заявки и документов в случаях, если: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1) заявитель обратился с документами с нарушением срока, установленного </w:t>
      </w:r>
      <w:hyperlink w:anchor="P92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2) заявитель представил неполный пакет документов, указанных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3) в документах, представленных заявителем, имеются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16. Поступившие заявки регистрируются Комитетом в Журнале регистрации заявок (далее - Журнал). Запись регистрации заявки включает в себя номер по порядку, дату, время, подпись и расшифровку подписи лица, вручившего заявку с приложением документов. Журнал должен быть </w:t>
      </w:r>
      <w:r>
        <w:lastRenderedPageBreak/>
        <w:t>пронумерован и прошит.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17. Комитет направляет Журнал и все зарегистрированные в нем конкурсные заявки организаций на рассмотрение Комиссии.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18. Комиссия рассматривает заявки в срок не более 15 календарных дней </w:t>
      </w:r>
      <w:proofErr w:type="gramStart"/>
      <w:r>
        <w:t>с даты окончания</w:t>
      </w:r>
      <w:proofErr w:type="gramEnd"/>
      <w:r>
        <w:t xml:space="preserve"> приема заявок.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19. Заявки, рассматриваемые Комиссией, оцениваются на основании информации, содержащейся в документах, руководствуясь следующими критериями оценки:</w:t>
      </w:r>
    </w:p>
    <w:p w:rsidR="0067305A" w:rsidRDefault="006730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535"/>
        <w:gridCol w:w="2154"/>
        <w:gridCol w:w="1701"/>
      </w:tblGrid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154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701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7305A">
        <w:tc>
          <w:tcPr>
            <w:tcW w:w="680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</w:tcPr>
          <w:p w:rsidR="0067305A" w:rsidRDefault="0067305A">
            <w:pPr>
              <w:pStyle w:val="ConsPlusNormal"/>
            </w:pPr>
            <w:r>
              <w:t>Количество участников информационных семинаров по повышению предпринимательской грамотности за предшествующий финансовый год</w:t>
            </w: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40 до 44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45 до 49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5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50 и более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10</w:t>
            </w:r>
          </w:p>
        </w:tc>
      </w:tr>
      <w:tr w:rsidR="0067305A">
        <w:tc>
          <w:tcPr>
            <w:tcW w:w="680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vMerge w:val="restart"/>
          </w:tcPr>
          <w:p w:rsidR="0067305A" w:rsidRDefault="0067305A">
            <w:pPr>
              <w:pStyle w:val="ConsPlusNormal"/>
            </w:pPr>
            <w:r>
              <w:t>Количество участников турниров по деловым переговорам и форумов предпринимателей за предшествующий финансовый год</w:t>
            </w: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80 до 84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85 до 89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5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90 и более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10</w:t>
            </w:r>
          </w:p>
        </w:tc>
      </w:tr>
      <w:tr w:rsidR="0067305A">
        <w:tc>
          <w:tcPr>
            <w:tcW w:w="680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</w:tcPr>
          <w:p w:rsidR="0067305A" w:rsidRDefault="0067305A">
            <w:pPr>
              <w:pStyle w:val="ConsPlusNormal"/>
            </w:pPr>
            <w:r>
              <w:t>Количество участников семинара-тренинга "Школа бизнеса" за предшествующий финансовый год</w:t>
            </w: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40 до 44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45 до 49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5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50 и более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10</w:t>
            </w:r>
          </w:p>
        </w:tc>
      </w:tr>
      <w:tr w:rsidR="0067305A">
        <w:tc>
          <w:tcPr>
            <w:tcW w:w="680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535" w:type="dxa"/>
            <w:vMerge w:val="restart"/>
          </w:tcPr>
          <w:p w:rsidR="0067305A" w:rsidRDefault="0067305A">
            <w:pPr>
              <w:pStyle w:val="ConsPlusNormal"/>
            </w:pPr>
            <w:r>
              <w:t>Количество участников конкурсов профессионального мастерства за предшествующий финансовый год</w:t>
            </w: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6 до 9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10 до 13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5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14 и более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10</w:t>
            </w:r>
          </w:p>
        </w:tc>
      </w:tr>
      <w:tr w:rsidR="0067305A">
        <w:tc>
          <w:tcPr>
            <w:tcW w:w="680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535" w:type="dxa"/>
            <w:vMerge w:val="restart"/>
          </w:tcPr>
          <w:p w:rsidR="0067305A" w:rsidRDefault="0067305A">
            <w:pPr>
              <w:pStyle w:val="ConsPlusNormal"/>
            </w:pPr>
            <w:r>
              <w:t>Количество участников семинаров и индивидуальных консультаций по вопросам участия в конкурсах в целях получения государственной поддержки, за предшествующий финансовый год</w:t>
            </w: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10 до 11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12 до 13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5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от 14 и более человек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10</w:t>
            </w:r>
          </w:p>
        </w:tc>
      </w:tr>
      <w:tr w:rsidR="0067305A">
        <w:tc>
          <w:tcPr>
            <w:tcW w:w="680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535" w:type="dxa"/>
            <w:vMerge w:val="restart"/>
          </w:tcPr>
          <w:p w:rsidR="0067305A" w:rsidRDefault="0067305A">
            <w:pPr>
              <w:pStyle w:val="ConsPlusNormal"/>
            </w:pPr>
            <w:r>
              <w:t>Обеспечение функционирования раздела муниципального образования на официальном сайте Свердловской области в сфере развития малого и среднего предпринимательства (www.66msp.ru), за предшествующий финансовый год</w:t>
            </w: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С замечаниями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0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154" w:type="dxa"/>
          </w:tcPr>
          <w:p w:rsidR="0067305A" w:rsidRDefault="0067305A">
            <w:pPr>
              <w:pStyle w:val="ConsPlusNormal"/>
            </w:pPr>
            <w:r>
              <w:t>Без замечаний</w:t>
            </w:r>
          </w:p>
        </w:tc>
        <w:tc>
          <w:tcPr>
            <w:tcW w:w="1701" w:type="dxa"/>
          </w:tcPr>
          <w:p w:rsidR="0067305A" w:rsidRDefault="0067305A">
            <w:pPr>
              <w:pStyle w:val="ConsPlusNormal"/>
              <w:jc w:val="center"/>
            </w:pPr>
            <w:r>
              <w:t>5</w:t>
            </w: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>20. Комиссия рассматривает заявки и представленные организациями документы, рассчитывает общий оценочный балл и определяет победителя конкурса.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21. Победителем конкурса признается организация, набравшая наибольшее количество баллов по итогам оценки заявок.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lastRenderedPageBreak/>
        <w:t>Среди заявителей, набравших одинаковое количество баллов, победителем конкурса признается организация, первая представившая заявку на предоставление субсидии.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При подаче единственной заявки на предоставление субсидии организация, подавшая заявку, признается победителем, в случае если заявка была признана соответствующей условиям конкурсного отбора.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22. Комиссия принимает решение об отказе в предоставлении субсидии по следующим основаниям: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1) организация не соответствует критериям получателей субсидии, указанным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2) у организации имеются неисполненные обязанности по уплате налогов, сборов, пеней и налоговых санкций, подлежащих уплате в соответствии с действующим законодательством Российской Федерации о налогах и сборах, и иная просроченная задолженность перед соответствующим бюджетом бюджетной системы Российской Федерации;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3) представленные организацией документы не соответствуют требованиям, определенным </w:t>
      </w:r>
      <w:hyperlink w:anchor="P72" w:history="1">
        <w:r>
          <w:rPr>
            <w:color w:val="0000FF"/>
          </w:rPr>
          <w:t>пунктами 10</w:t>
        </w:r>
      </w:hyperlink>
      <w:r>
        <w:t xml:space="preserve">, </w:t>
      </w:r>
      <w:hyperlink w:anchor="P88" w:history="1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4) организация находится в процессе реорганизации, ликвидации, банкротства;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5) организация не признана победителем конкурса.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23. В случае принятия комиссией решения рекомендовать главе </w:t>
      </w:r>
      <w:proofErr w:type="spellStart"/>
      <w:r>
        <w:t>Серовского</w:t>
      </w:r>
      <w:proofErr w:type="spellEnd"/>
      <w:r>
        <w:t xml:space="preserve"> городского округа удовлетворить заявку организации - победителя конкурса на предоставление субсидии, Комитет в срок не более 10 рабочих дней готовит соответствующий проект постановления Администрации.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24. На основании постановления Администрации о предоставлении субсидии Администрация в срок не более 10 рабочих дней заключает с организацией - получателем субсидии соглашение о предоставлении субсидии (далее - Соглашение) в соответствии с типовой формой, утвержденной приказом функционального органа "Финансовое управление администрации </w:t>
      </w:r>
      <w:proofErr w:type="spellStart"/>
      <w:r>
        <w:t>Серовского</w:t>
      </w:r>
      <w:proofErr w:type="spellEnd"/>
      <w:r>
        <w:t xml:space="preserve"> городского округа" от 30.12.2020 N 177.</w:t>
      </w:r>
    </w:p>
    <w:p w:rsidR="0067305A" w:rsidRDefault="0067305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Серовского</w:t>
      </w:r>
      <w:proofErr w:type="spellEnd"/>
      <w:r>
        <w:t xml:space="preserve"> городского округа от 30.12.2021 N 1741)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25. Обязательными условиями предоставления субсидии, включаемыми в Соглашение, являются согласие организации - получателя субсидии на осуществление главным распорядителем средств бюджета </w:t>
      </w:r>
      <w:proofErr w:type="spellStart"/>
      <w:r>
        <w:t>Серовского</w:t>
      </w:r>
      <w:proofErr w:type="spellEnd"/>
      <w:r>
        <w:t xml:space="preserve"> городского округа, предоставившим субсидию, и органами муниципального финансового контроля проверок соблюдения условий, целей и порядка предоставления субсидии и запрет приобретения за счет полученных средств иностранной валюты.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26. Размер субсидии определяется Администрацией в пределах объема бюджетных ассигнований, утвержденных на эти цели в бюджете </w:t>
      </w:r>
      <w:proofErr w:type="spellStart"/>
      <w:r>
        <w:t>Серовского</w:t>
      </w:r>
      <w:proofErr w:type="spellEnd"/>
      <w:r>
        <w:t xml:space="preserve"> городского округа на соответствующий финансовый год.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27. Администрация имеет право устанавливать в Соглашении конкретные значения показателей результативности предоставления субсидии.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28. Перечисление субсидии производится путем перечисления денежных средств на расчетный счет получателя субсидии в кредитном учреждении.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29. Выплата субсидии осуществляется Администрацией в безналичном порядке путем перечисления денежных средств на расчетный счет организации в кредитном учреждении в течение 10 рабочих дней после подписания Соглашения Администрацией.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  <w:outlineLvl w:val="1"/>
      </w:pPr>
      <w:r>
        <w:t>Раздел III. ТРЕБОВАНИЯ К ОТЧЕТНОСТИ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 xml:space="preserve">30. Администрация устанавливает в Соглашении следующие сроки и формы представления организацией - получателем субсидии отчетности о расходах, на финансовое обеспечение которых предоставляется субсидия: обеспечить представление в Администрацию не позднее 5-го числа месяца, </w:t>
      </w:r>
      <w:r>
        <w:lastRenderedPageBreak/>
        <w:t>следующего за отчетным кварталом, в котором была получена Субсидия: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1) </w:t>
      </w:r>
      <w:hyperlink w:anchor="P404" w:history="1">
        <w:r>
          <w:rPr>
            <w:color w:val="0000FF"/>
          </w:rPr>
          <w:t>отчета</w:t>
        </w:r>
      </w:hyperlink>
      <w:r>
        <w:t xml:space="preserve"> о достижении </w:t>
      </w:r>
      <w:proofErr w:type="gramStart"/>
      <w:r>
        <w:t>значений показателей результативности предоставления субсидии</w:t>
      </w:r>
      <w:proofErr w:type="gramEnd"/>
      <w:r>
        <w:t xml:space="preserve"> по форме согласно приложению N 4 к настоящему Порядку;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2) </w:t>
      </w:r>
      <w:hyperlink w:anchor="P517" w:history="1">
        <w:r>
          <w:rPr>
            <w:color w:val="0000FF"/>
          </w:rPr>
          <w:t>акта</w:t>
        </w:r>
      </w:hyperlink>
      <w:r>
        <w:t xml:space="preserve"> выполненных работ об исполнении субсидии по форме согласно приложению N 5 к настоящему Порядку;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3) пояснительной записки по реализации соглашения, которая должна содержать: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указание на участников, реализующих мероприятия соглашения;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описание информации о ходе исполнения, результатах реализации соглашения;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информацию о достижениях и проблемах, выявленных в ходе реализации соглашения;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- информацию о причинах </w:t>
      </w:r>
      <w:proofErr w:type="spellStart"/>
      <w:r>
        <w:t>недостижения</w:t>
      </w:r>
      <w:proofErr w:type="spellEnd"/>
      <w:r>
        <w:t xml:space="preserve"> результатов в ходе выполнения </w:t>
      </w:r>
      <w:proofErr w:type="spellStart"/>
      <w:r>
        <w:t>софинансируемого</w:t>
      </w:r>
      <w:proofErr w:type="spellEnd"/>
      <w:r>
        <w:t xml:space="preserve"> мероприятия;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информацию о наличии (об отсутствии) потребности в субсидии;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информацию о субъектах малого и среднего предпринимательства, получивших поддержку для внесения в Реестр субъектов малого и среднего предпринимательства - получателей поддержки.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  <w:outlineLvl w:val="1"/>
      </w:pPr>
      <w:r>
        <w:t>Раздел IV. ТРЕБОВАНИЯ ОБ ОСУЩЕСТВЛЕНИИ КОНТРОЛЯ</w:t>
      </w:r>
    </w:p>
    <w:p w:rsidR="0067305A" w:rsidRDefault="0067305A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67305A" w:rsidRDefault="0067305A">
      <w:pPr>
        <w:pStyle w:val="ConsPlusTitle"/>
        <w:jc w:val="center"/>
      </w:pPr>
      <w:r>
        <w:t>СУБСИДИЙ И ОТВЕТСТВЕННОСТИ ЗА ИХ НАРУШЕНИЕ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соблюдением получателем субсидий условий, целей и порядка предоставления субсидий обязан осуществлять главный распорядитель средств бюджета </w:t>
      </w:r>
      <w:proofErr w:type="spellStart"/>
      <w:r>
        <w:t>Серовского</w:t>
      </w:r>
      <w:proofErr w:type="spellEnd"/>
      <w:r>
        <w:t xml:space="preserve"> городского округа, предоставивший субсидию.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Функциональным органом "Финансовое управление администрации </w:t>
      </w:r>
      <w:proofErr w:type="spellStart"/>
      <w:r>
        <w:t>Серовского</w:t>
      </w:r>
      <w:proofErr w:type="spellEnd"/>
      <w:r>
        <w:t xml:space="preserve"> городского округа" финансовый контроль в отношении получателей субсидии осуществляется в части соблюдения ими условий соглашения о предоставлении средств из бюджета в процессе проверки главных распорядителей средств бюджета </w:t>
      </w:r>
      <w:proofErr w:type="spellStart"/>
      <w:r>
        <w:t>Серовского</w:t>
      </w:r>
      <w:proofErr w:type="spellEnd"/>
      <w:r>
        <w:t xml:space="preserve"> городского округа, заключивших соглашения о предоставлении субсидии.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32. Средства, полученные из бюджета </w:t>
      </w:r>
      <w:proofErr w:type="spellStart"/>
      <w:r>
        <w:t>Серовского</w:t>
      </w:r>
      <w:proofErr w:type="spellEnd"/>
      <w:r>
        <w:t xml:space="preserve"> городского округа в форме субсидии, носят целевой характер и не могут быть использованы на иные цели. Получатель несет установленную действующим законодательством ответственность за нецелевое использование субсидии.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33. Не использованные в текущем финансовом году средства субсидии подлежат возврату в бюджет </w:t>
      </w:r>
      <w:proofErr w:type="spellStart"/>
      <w:r>
        <w:t>Серовского</w:t>
      </w:r>
      <w:proofErr w:type="spellEnd"/>
      <w:r>
        <w:t xml:space="preserve"> городского округа не позднее 21 декабря текущего финансового года.</w:t>
      </w:r>
    </w:p>
    <w:p w:rsidR="0067305A" w:rsidRDefault="0067305A">
      <w:pPr>
        <w:pStyle w:val="ConsPlusNormal"/>
        <w:spacing w:before="220"/>
        <w:ind w:firstLine="540"/>
        <w:jc w:val="both"/>
      </w:pPr>
      <w:bookmarkStart w:id="6" w:name="P195"/>
      <w:bookmarkEnd w:id="6"/>
      <w:r>
        <w:t xml:space="preserve">34. При выявлении Администрацией и (или) органами муниципального финансового контроля нарушений условий, целей и порядка предоставления субсидии по письменному требованию Администрации субсидия подлежит возврату в бюджет </w:t>
      </w:r>
      <w:proofErr w:type="spellStart"/>
      <w:r>
        <w:t>Серовского</w:t>
      </w:r>
      <w:proofErr w:type="spellEnd"/>
      <w:r>
        <w:t xml:space="preserve"> городского округа в течение 10 календарных дней с момента получения соответствующего требования.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невозврате</w:t>
      </w:r>
      <w:proofErr w:type="spellEnd"/>
      <w:r>
        <w:t xml:space="preserve"> субсидии в установленный срок Администрация принимает меры по взысканию подлежащей возврату субсидии в судебном порядке.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35. В случае если организацией - получателем субсидии по состоянию на 20 декабря текущего финансового года допущены нарушения обязательств по выполнению показателей результативности предоставления субсидии, Получатель субсидии обеспечивает возврат субсидии в бюджет </w:t>
      </w:r>
      <w:proofErr w:type="spellStart"/>
      <w:r>
        <w:t>Серовского</w:t>
      </w:r>
      <w:proofErr w:type="spellEnd"/>
      <w:r>
        <w:t xml:space="preserve"> городского округа в срок, указанный в </w:t>
      </w:r>
      <w:hyperlink w:anchor="P195" w:history="1">
        <w:r>
          <w:rPr>
            <w:color w:val="0000FF"/>
          </w:rPr>
          <w:t>пункте 34</w:t>
        </w:r>
      </w:hyperlink>
      <w:r>
        <w:t xml:space="preserve"> настоящего Порядка.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Размер средств субсидии, подлежащих возврату, определяется в зависимости от достижения </w:t>
      </w:r>
      <w:proofErr w:type="gramStart"/>
      <w:r>
        <w:t>уровня установленных значений индивидуальных показателей результативности использования субсидии</w:t>
      </w:r>
      <w:proofErr w:type="gramEnd"/>
      <w:r>
        <w:t xml:space="preserve"> в рамках реализации мероприятий, предусмотренных </w:t>
      </w:r>
      <w:hyperlink w:anchor="P50" w:history="1">
        <w:r>
          <w:rPr>
            <w:color w:val="0000FF"/>
          </w:rPr>
          <w:t>пунктом 3</w:t>
        </w:r>
      </w:hyperlink>
      <w:r>
        <w:t xml:space="preserve"> настоящего Порядка, и рассчитывается по формуле: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center"/>
      </w:pPr>
      <w:r>
        <w:t xml:space="preserve">V = </w:t>
      </w:r>
      <w:proofErr w:type="spellStart"/>
      <w:r>
        <w:t>Smo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kcp</w:t>
      </w:r>
      <w:proofErr w:type="spellEnd"/>
      <w:r>
        <w:t xml:space="preserve"> / 100 процентов, где: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>V - размер средств субсидии, подлежащей возврату в доход бюджета, из которого она была ранее предоставлена;</w:t>
      </w:r>
    </w:p>
    <w:p w:rsidR="0067305A" w:rsidRDefault="0067305A">
      <w:pPr>
        <w:pStyle w:val="ConsPlusNormal"/>
        <w:spacing w:before="220"/>
        <w:ind w:firstLine="540"/>
        <w:jc w:val="both"/>
      </w:pPr>
      <w:proofErr w:type="spellStart"/>
      <w:r>
        <w:t>Smo</w:t>
      </w:r>
      <w:proofErr w:type="spellEnd"/>
      <w:r>
        <w:t xml:space="preserve"> - субсидия получателю;</w:t>
      </w:r>
    </w:p>
    <w:p w:rsidR="0067305A" w:rsidRDefault="0067305A">
      <w:pPr>
        <w:pStyle w:val="ConsPlusNormal"/>
        <w:spacing w:before="220"/>
        <w:ind w:firstLine="540"/>
        <w:jc w:val="both"/>
      </w:pPr>
      <w:proofErr w:type="spellStart"/>
      <w:r>
        <w:t>kcp</w:t>
      </w:r>
      <w:proofErr w:type="spellEnd"/>
      <w:r>
        <w:t xml:space="preserve"> - процент возврата субсидии, который определяется по формуле: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center"/>
      </w:pPr>
      <w:proofErr w:type="spellStart"/>
      <w:r>
        <w:t>kcp</w:t>
      </w:r>
      <w:proofErr w:type="spellEnd"/>
      <w:r>
        <w:t xml:space="preserve"> = 100 процентов - ((k1 + k2 + ... + </w:t>
      </w:r>
      <w:proofErr w:type="spellStart"/>
      <w:r>
        <w:t>ki</w:t>
      </w:r>
      <w:proofErr w:type="spellEnd"/>
      <w:r>
        <w:t xml:space="preserve">) / </w:t>
      </w:r>
      <w:proofErr w:type="spellStart"/>
      <w:r>
        <w:t>n</w:t>
      </w:r>
      <w:proofErr w:type="spellEnd"/>
      <w:r>
        <w:t>), где: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 xml:space="preserve">k1 + k2 + ... + </w:t>
      </w:r>
      <w:proofErr w:type="spellStart"/>
      <w:r>
        <w:t>ki</w:t>
      </w:r>
      <w:proofErr w:type="spellEnd"/>
      <w:r>
        <w:t xml:space="preserve"> - процент фактически достигнутого значения индивидуального показателя </w:t>
      </w:r>
      <w:proofErr w:type="gramStart"/>
      <w:r>
        <w:t>от</w:t>
      </w:r>
      <w:proofErr w:type="gramEnd"/>
      <w:r>
        <w:t xml:space="preserve"> планового. В случае перевыполнения фактического значения индивидуального показателя от планового учитывается 100-процентный результат его выполнения;</w:t>
      </w:r>
    </w:p>
    <w:p w:rsidR="0067305A" w:rsidRDefault="0067305A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количество индивидуальных показателей по мероприятиям, предусмотренным </w:t>
      </w:r>
      <w:hyperlink w:anchor="P50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  <w:outlineLvl w:val="1"/>
      </w:pPr>
      <w:r>
        <w:t>Приложение N 1</w:t>
      </w:r>
    </w:p>
    <w:p w:rsidR="0067305A" w:rsidRDefault="0067305A">
      <w:pPr>
        <w:pStyle w:val="ConsPlusNormal"/>
        <w:jc w:val="right"/>
      </w:pPr>
      <w:r>
        <w:t>к Порядку определения объема</w:t>
      </w:r>
    </w:p>
    <w:p w:rsidR="0067305A" w:rsidRDefault="0067305A">
      <w:pPr>
        <w:pStyle w:val="ConsPlusNormal"/>
        <w:jc w:val="right"/>
      </w:pPr>
      <w:r>
        <w:t>и условий предоставления субсидий</w:t>
      </w:r>
    </w:p>
    <w:p w:rsidR="0067305A" w:rsidRDefault="0067305A">
      <w:pPr>
        <w:pStyle w:val="ConsPlusNormal"/>
        <w:jc w:val="right"/>
      </w:pPr>
      <w:r>
        <w:t>некоммерческим организациям,</w:t>
      </w:r>
    </w:p>
    <w:p w:rsidR="0067305A" w:rsidRDefault="0067305A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67305A" w:rsidRDefault="0067305A">
      <w:pPr>
        <w:pStyle w:val="ConsPlusNormal"/>
        <w:jc w:val="right"/>
      </w:pPr>
      <w:r>
        <w:t>(муниципальными) учреждениями</w:t>
      </w:r>
    </w:p>
    <w:p w:rsidR="0067305A" w:rsidRDefault="0067305A">
      <w:pPr>
        <w:pStyle w:val="ConsPlusNormal"/>
        <w:jc w:val="right"/>
      </w:pPr>
      <w:r>
        <w:t>и образующим инфраструктуру поддержки</w:t>
      </w:r>
    </w:p>
    <w:p w:rsidR="0067305A" w:rsidRDefault="0067305A">
      <w:pPr>
        <w:pStyle w:val="ConsPlusNormal"/>
        <w:jc w:val="right"/>
      </w:pPr>
      <w:r>
        <w:t>субъектов малого и среднего</w:t>
      </w:r>
    </w:p>
    <w:p w:rsidR="0067305A" w:rsidRDefault="0067305A">
      <w:pPr>
        <w:pStyle w:val="ConsPlusNormal"/>
        <w:jc w:val="right"/>
      </w:pPr>
      <w:r>
        <w:t>предпринимательства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  <w:r>
        <w:t>ФОРМА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nformat"/>
        <w:jc w:val="both"/>
      </w:pPr>
      <w:bookmarkStart w:id="7" w:name="P227"/>
      <w:bookmarkEnd w:id="7"/>
      <w:r>
        <w:t xml:space="preserve">                                 Заявление</w:t>
      </w:r>
    </w:p>
    <w:p w:rsidR="0067305A" w:rsidRDefault="0067305A">
      <w:pPr>
        <w:pStyle w:val="ConsPlusNonformat"/>
        <w:jc w:val="both"/>
      </w:pPr>
      <w:r>
        <w:t xml:space="preserve">             на участие в конкурсе на право получения субсидии</w:t>
      </w:r>
    </w:p>
    <w:p w:rsidR="0067305A" w:rsidRDefault="0067305A">
      <w:pPr>
        <w:pStyle w:val="ConsPlusNonformat"/>
        <w:jc w:val="both"/>
      </w:pPr>
    </w:p>
    <w:p w:rsidR="0067305A" w:rsidRDefault="0067305A">
      <w:pPr>
        <w:pStyle w:val="ConsPlusNonformat"/>
        <w:jc w:val="both"/>
      </w:pPr>
      <w:r>
        <w:t>___________________________________________________________________________</w:t>
      </w:r>
    </w:p>
    <w:p w:rsidR="0067305A" w:rsidRDefault="0067305A">
      <w:pPr>
        <w:pStyle w:val="ConsPlusNonformat"/>
        <w:jc w:val="both"/>
      </w:pPr>
      <w:r>
        <w:t xml:space="preserve">               </w:t>
      </w:r>
      <w:proofErr w:type="gramStart"/>
      <w:r>
        <w:t>(полное наименование организации, ИНН, ОГРН,</w:t>
      </w:r>
      <w:proofErr w:type="gramEnd"/>
    </w:p>
    <w:p w:rsidR="0067305A" w:rsidRDefault="0067305A">
      <w:pPr>
        <w:pStyle w:val="ConsPlusNonformat"/>
        <w:jc w:val="both"/>
      </w:pPr>
      <w:r>
        <w:t>___________________________________________________________________________</w:t>
      </w:r>
    </w:p>
    <w:p w:rsidR="0067305A" w:rsidRDefault="0067305A">
      <w:pPr>
        <w:pStyle w:val="ConsPlusNonformat"/>
        <w:jc w:val="both"/>
      </w:pPr>
      <w:r>
        <w:t xml:space="preserve">                   юридический адрес, фактический адрес)</w:t>
      </w:r>
    </w:p>
    <w:p w:rsidR="0067305A" w:rsidRDefault="0067305A">
      <w:pPr>
        <w:pStyle w:val="ConsPlusNonformat"/>
        <w:jc w:val="both"/>
      </w:pPr>
      <w:r>
        <w:t>в лице ____________________________________________________________________</w:t>
      </w:r>
    </w:p>
    <w:p w:rsidR="0067305A" w:rsidRDefault="0067305A">
      <w:pPr>
        <w:pStyle w:val="ConsPlusNonformat"/>
        <w:jc w:val="both"/>
      </w:pPr>
      <w:r>
        <w:t xml:space="preserve">     </w:t>
      </w:r>
      <w:proofErr w:type="gramStart"/>
      <w:r>
        <w:t>(наименование должности руководителя, фамилия, И.О. руководителя,</w:t>
      </w:r>
      <w:proofErr w:type="gramEnd"/>
    </w:p>
    <w:p w:rsidR="0067305A" w:rsidRDefault="0067305A">
      <w:pPr>
        <w:pStyle w:val="ConsPlusNonformat"/>
        <w:jc w:val="both"/>
      </w:pPr>
      <w:r>
        <w:t>__________________________________________________________________________,</w:t>
      </w:r>
    </w:p>
    <w:p w:rsidR="0067305A" w:rsidRDefault="0067305A">
      <w:pPr>
        <w:pStyle w:val="ConsPlusNonformat"/>
        <w:jc w:val="both"/>
      </w:pPr>
      <w:r>
        <w:t xml:space="preserve">               контактный телефон, адрес электронной почты)</w:t>
      </w:r>
    </w:p>
    <w:p w:rsidR="0067305A" w:rsidRDefault="0067305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67305A" w:rsidRDefault="0067305A">
      <w:pPr>
        <w:pStyle w:val="ConsPlusNonformat"/>
        <w:jc w:val="both"/>
      </w:pPr>
    </w:p>
    <w:p w:rsidR="0067305A" w:rsidRDefault="0067305A">
      <w:pPr>
        <w:pStyle w:val="ConsPlusNonformat"/>
        <w:jc w:val="both"/>
      </w:pPr>
      <w:r>
        <w:t xml:space="preserve">заявляет  об  участии в конкурсе на право получения в ____ году субсидии </w:t>
      </w:r>
      <w:proofErr w:type="gramStart"/>
      <w:r>
        <w:t>на</w:t>
      </w:r>
      <w:proofErr w:type="gramEnd"/>
    </w:p>
    <w:p w:rsidR="0067305A" w:rsidRDefault="0067305A">
      <w:pPr>
        <w:pStyle w:val="ConsPlusNonformat"/>
        <w:jc w:val="both"/>
      </w:pPr>
      <w:r>
        <w:t xml:space="preserve">реализацию  мероприятий муниципальной </w:t>
      </w:r>
      <w:hyperlink r:id="rId23" w:history="1">
        <w:r>
          <w:rPr>
            <w:color w:val="0000FF"/>
          </w:rPr>
          <w:t>программы</w:t>
        </w:r>
      </w:hyperlink>
      <w:r>
        <w:t xml:space="preserve"> "Содействие развитию малого</w:t>
      </w:r>
    </w:p>
    <w:p w:rsidR="0067305A" w:rsidRDefault="0067305A">
      <w:pPr>
        <w:pStyle w:val="ConsPlusNonformat"/>
        <w:jc w:val="both"/>
      </w:pPr>
      <w:r>
        <w:t xml:space="preserve">и среднего предпринимательства в </w:t>
      </w:r>
      <w:proofErr w:type="spellStart"/>
      <w:r>
        <w:t>Серовском</w:t>
      </w:r>
      <w:proofErr w:type="spellEnd"/>
      <w:r>
        <w:t xml:space="preserve"> городском округе до 2024 года".</w:t>
      </w:r>
    </w:p>
    <w:p w:rsidR="0067305A" w:rsidRDefault="0067305A">
      <w:pPr>
        <w:pStyle w:val="ConsPlusNonformat"/>
        <w:jc w:val="both"/>
      </w:pPr>
      <w:r>
        <w:t xml:space="preserve">    Подтверждаю,  что  у организации отсутствует просроченная задолженность</w:t>
      </w:r>
    </w:p>
    <w:p w:rsidR="0067305A" w:rsidRDefault="0067305A">
      <w:pPr>
        <w:pStyle w:val="ConsPlusNonformat"/>
        <w:jc w:val="both"/>
      </w:pPr>
      <w:r>
        <w:t>по  возврату  в бюджеты всех уровней бюджетной системы Российской Федерации</w:t>
      </w:r>
    </w:p>
    <w:p w:rsidR="0067305A" w:rsidRDefault="0067305A">
      <w:pPr>
        <w:pStyle w:val="ConsPlusNonformat"/>
        <w:jc w:val="both"/>
      </w:pPr>
      <w:r>
        <w:t xml:space="preserve">субсидий,  бюджетных  инвестиций  и  иная  просроченная задолженность </w:t>
      </w:r>
      <w:proofErr w:type="gramStart"/>
      <w:r>
        <w:t>перед</w:t>
      </w:r>
      <w:proofErr w:type="gramEnd"/>
    </w:p>
    <w:p w:rsidR="0067305A" w:rsidRDefault="0067305A">
      <w:pPr>
        <w:pStyle w:val="ConsPlusNonformat"/>
        <w:jc w:val="both"/>
      </w:pPr>
      <w:r>
        <w:t>бюджетами  всех  уровней  бюджетной  системы  Российской  Федерации  и  что</w:t>
      </w:r>
    </w:p>
    <w:p w:rsidR="0067305A" w:rsidRDefault="0067305A">
      <w:pPr>
        <w:pStyle w:val="ConsPlusNonformat"/>
        <w:jc w:val="both"/>
      </w:pPr>
      <w:r>
        <w:t>организация не находится в процессе реорганизации, ликвидации, банкротства.</w:t>
      </w:r>
    </w:p>
    <w:p w:rsidR="0067305A" w:rsidRDefault="0067305A">
      <w:pPr>
        <w:pStyle w:val="ConsPlusNonformat"/>
        <w:jc w:val="both"/>
      </w:pPr>
      <w:r>
        <w:t xml:space="preserve">    К настоящему заявлению прилагаются:</w:t>
      </w:r>
    </w:p>
    <w:p w:rsidR="0067305A" w:rsidRDefault="0067305A">
      <w:pPr>
        <w:pStyle w:val="ConsPlusNonformat"/>
        <w:jc w:val="both"/>
      </w:pPr>
      <w:r>
        <w:t xml:space="preserve">    1) копия устава организации на ____ </w:t>
      </w:r>
      <w:proofErr w:type="gramStart"/>
      <w:r>
        <w:t>л</w:t>
      </w:r>
      <w:proofErr w:type="gramEnd"/>
      <w:r>
        <w:t>.;</w:t>
      </w:r>
    </w:p>
    <w:p w:rsidR="0067305A" w:rsidRDefault="0067305A">
      <w:pPr>
        <w:pStyle w:val="ConsPlusNonformat"/>
        <w:jc w:val="both"/>
      </w:pPr>
      <w:r>
        <w:t xml:space="preserve">    2) выписка  из  Единого  государственного  реестра  юридических лиц  </w:t>
      </w:r>
      <w:proofErr w:type="gramStart"/>
      <w:r>
        <w:t>на</w:t>
      </w:r>
      <w:proofErr w:type="gramEnd"/>
    </w:p>
    <w:p w:rsidR="0067305A" w:rsidRDefault="0067305A">
      <w:pPr>
        <w:pStyle w:val="ConsPlusNonformat"/>
        <w:jc w:val="both"/>
      </w:pPr>
      <w:r>
        <w:t xml:space="preserve">_____ </w:t>
      </w:r>
      <w:proofErr w:type="gramStart"/>
      <w:r>
        <w:t>л</w:t>
      </w:r>
      <w:proofErr w:type="gramEnd"/>
      <w:r>
        <w:t>.;</w:t>
      </w:r>
    </w:p>
    <w:p w:rsidR="0067305A" w:rsidRDefault="0067305A">
      <w:pPr>
        <w:pStyle w:val="ConsPlusNonformat"/>
        <w:jc w:val="both"/>
      </w:pPr>
      <w:r>
        <w:t xml:space="preserve">    3) документ,  подтверждающий  отсутствие  неисполненной обязанности  </w:t>
      </w:r>
      <w:proofErr w:type="gramStart"/>
      <w:r>
        <w:t>по</w:t>
      </w:r>
      <w:proofErr w:type="gramEnd"/>
    </w:p>
    <w:p w:rsidR="0067305A" w:rsidRDefault="0067305A">
      <w:pPr>
        <w:pStyle w:val="ConsPlusNonformat"/>
        <w:jc w:val="both"/>
      </w:pPr>
      <w:r>
        <w:t xml:space="preserve">уплате  налогов,  сборов,  пеней  и  налоговых санкций, подлежащих уплате </w:t>
      </w:r>
      <w:proofErr w:type="gramStart"/>
      <w:r>
        <w:t>в</w:t>
      </w:r>
      <w:proofErr w:type="gramEnd"/>
    </w:p>
    <w:p w:rsidR="0067305A" w:rsidRDefault="0067305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действующим законодательством Российской Федерации, а также</w:t>
      </w:r>
    </w:p>
    <w:p w:rsidR="0067305A" w:rsidRDefault="0067305A">
      <w:pPr>
        <w:pStyle w:val="ConsPlusNonformat"/>
        <w:jc w:val="both"/>
      </w:pPr>
      <w:r>
        <w:t>иной  просроченной  задолженности  перед соответствующим бюджетом бюджетной</w:t>
      </w:r>
    </w:p>
    <w:p w:rsidR="0067305A" w:rsidRDefault="0067305A">
      <w:pPr>
        <w:pStyle w:val="ConsPlusNonformat"/>
        <w:jc w:val="both"/>
      </w:pPr>
      <w:r>
        <w:lastRenderedPageBreak/>
        <w:t xml:space="preserve">системы Российской Федерации на ____ </w:t>
      </w:r>
      <w:proofErr w:type="gramStart"/>
      <w:r>
        <w:t>л</w:t>
      </w:r>
      <w:proofErr w:type="gramEnd"/>
      <w:r>
        <w:t>.;</w:t>
      </w:r>
    </w:p>
    <w:p w:rsidR="0067305A" w:rsidRDefault="0067305A">
      <w:pPr>
        <w:pStyle w:val="ConsPlusNonformat"/>
        <w:jc w:val="both"/>
      </w:pPr>
      <w:r>
        <w:t xml:space="preserve">    4) аналитический отчет, содержащий сведения об эффективности реализации</w:t>
      </w:r>
    </w:p>
    <w:p w:rsidR="0067305A" w:rsidRDefault="0067305A">
      <w:pPr>
        <w:pStyle w:val="ConsPlusNonformat"/>
        <w:jc w:val="both"/>
      </w:pPr>
      <w:r>
        <w:t>мероприятий  муниципальной  программы содействия развитию малого и среднего</w:t>
      </w:r>
    </w:p>
    <w:p w:rsidR="0067305A" w:rsidRDefault="0067305A">
      <w:pPr>
        <w:pStyle w:val="ConsPlusNonformat"/>
        <w:jc w:val="both"/>
      </w:pPr>
      <w:r>
        <w:t xml:space="preserve">предпринимательства за предшествующий год на ____ </w:t>
      </w:r>
      <w:proofErr w:type="gramStart"/>
      <w:r>
        <w:t>л</w:t>
      </w:r>
      <w:proofErr w:type="gramEnd"/>
      <w:r>
        <w:t>.;</w:t>
      </w:r>
    </w:p>
    <w:p w:rsidR="0067305A" w:rsidRDefault="0067305A">
      <w:pPr>
        <w:pStyle w:val="ConsPlusNonformat"/>
        <w:jc w:val="both"/>
      </w:pPr>
      <w:r>
        <w:t xml:space="preserve">    5) план работы организации на ____ год на ____ </w:t>
      </w:r>
      <w:proofErr w:type="gramStart"/>
      <w:r>
        <w:t>л</w:t>
      </w:r>
      <w:proofErr w:type="gramEnd"/>
      <w:r>
        <w:t>.;</w:t>
      </w:r>
    </w:p>
    <w:p w:rsidR="0067305A" w:rsidRDefault="0067305A">
      <w:pPr>
        <w:pStyle w:val="ConsPlusNonformat"/>
        <w:jc w:val="both"/>
      </w:pPr>
      <w:r>
        <w:t xml:space="preserve">    6) направления расходования субсидии на ____ год на ____ </w:t>
      </w:r>
      <w:proofErr w:type="gramStart"/>
      <w:r>
        <w:t>л</w:t>
      </w:r>
      <w:proofErr w:type="gramEnd"/>
      <w:r>
        <w:t>.;</w:t>
      </w:r>
    </w:p>
    <w:p w:rsidR="0067305A" w:rsidRDefault="0067305A">
      <w:pPr>
        <w:pStyle w:val="ConsPlusNonformat"/>
        <w:jc w:val="both"/>
      </w:pPr>
    </w:p>
    <w:p w:rsidR="0067305A" w:rsidRDefault="0067305A">
      <w:pPr>
        <w:pStyle w:val="ConsPlusNonformat"/>
        <w:jc w:val="both"/>
      </w:pPr>
      <w:r>
        <w:t>Руководитель ___________________ __________________________________________</w:t>
      </w:r>
    </w:p>
    <w:p w:rsidR="0067305A" w:rsidRDefault="0067305A">
      <w:pPr>
        <w:pStyle w:val="ConsPlusNonformat"/>
        <w:jc w:val="both"/>
      </w:pPr>
      <w:r>
        <w:t xml:space="preserve">                   (подпись)               (расшифровка подписи)</w:t>
      </w:r>
    </w:p>
    <w:p w:rsidR="0067305A" w:rsidRDefault="0067305A">
      <w:pPr>
        <w:pStyle w:val="ConsPlusNonformat"/>
        <w:jc w:val="both"/>
      </w:pPr>
      <w:r>
        <w:t xml:space="preserve">                     М.П.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  <w:outlineLvl w:val="1"/>
      </w:pPr>
      <w:r>
        <w:t>Приложение N 2</w:t>
      </w:r>
    </w:p>
    <w:p w:rsidR="0067305A" w:rsidRDefault="0067305A">
      <w:pPr>
        <w:pStyle w:val="ConsPlusNormal"/>
        <w:jc w:val="right"/>
      </w:pPr>
      <w:r>
        <w:t>к Порядку определения объема</w:t>
      </w:r>
    </w:p>
    <w:p w:rsidR="0067305A" w:rsidRDefault="0067305A">
      <w:pPr>
        <w:pStyle w:val="ConsPlusNormal"/>
        <w:jc w:val="right"/>
      </w:pPr>
      <w:r>
        <w:t>и условий предоставления субсидий</w:t>
      </w:r>
    </w:p>
    <w:p w:rsidR="0067305A" w:rsidRDefault="0067305A">
      <w:pPr>
        <w:pStyle w:val="ConsPlusNormal"/>
        <w:jc w:val="right"/>
      </w:pPr>
      <w:r>
        <w:t>некоммерческим организациям,</w:t>
      </w:r>
    </w:p>
    <w:p w:rsidR="0067305A" w:rsidRDefault="0067305A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67305A" w:rsidRDefault="0067305A">
      <w:pPr>
        <w:pStyle w:val="ConsPlusNormal"/>
        <w:jc w:val="right"/>
      </w:pPr>
      <w:r>
        <w:t>(муниципальными) учреждениями</w:t>
      </w:r>
    </w:p>
    <w:p w:rsidR="0067305A" w:rsidRDefault="0067305A">
      <w:pPr>
        <w:pStyle w:val="ConsPlusNormal"/>
        <w:jc w:val="right"/>
      </w:pPr>
      <w:r>
        <w:t>и образующим инфраструктуру поддержки</w:t>
      </w:r>
    </w:p>
    <w:p w:rsidR="0067305A" w:rsidRDefault="0067305A">
      <w:pPr>
        <w:pStyle w:val="ConsPlusNormal"/>
        <w:jc w:val="right"/>
      </w:pPr>
      <w:r>
        <w:t>субъектов малого и среднего</w:t>
      </w:r>
    </w:p>
    <w:p w:rsidR="0067305A" w:rsidRDefault="0067305A">
      <w:pPr>
        <w:pStyle w:val="ConsPlusNormal"/>
        <w:jc w:val="right"/>
      </w:pPr>
      <w:r>
        <w:t>предпринимательства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center"/>
      </w:pPr>
      <w:bookmarkStart w:id="8" w:name="P281"/>
      <w:bookmarkEnd w:id="8"/>
      <w:r>
        <w:t>План</w:t>
      </w:r>
    </w:p>
    <w:p w:rsidR="0067305A" w:rsidRDefault="0067305A">
      <w:pPr>
        <w:pStyle w:val="ConsPlusNormal"/>
        <w:jc w:val="center"/>
      </w:pPr>
      <w:r>
        <w:t>работы организации на 20__ год</w:t>
      </w:r>
    </w:p>
    <w:p w:rsidR="0067305A" w:rsidRDefault="0067305A">
      <w:pPr>
        <w:pStyle w:val="ConsPlusNormal"/>
        <w:jc w:val="both"/>
      </w:pPr>
    </w:p>
    <w:p w:rsidR="0067305A" w:rsidRDefault="0067305A">
      <w:pPr>
        <w:sectPr w:rsidR="0067305A" w:rsidSect="0067305A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742"/>
        <w:gridCol w:w="2211"/>
        <w:gridCol w:w="1587"/>
        <w:gridCol w:w="1474"/>
        <w:gridCol w:w="1417"/>
        <w:gridCol w:w="2211"/>
        <w:gridCol w:w="2280"/>
      </w:tblGrid>
      <w:tr w:rsidR="0067305A">
        <w:tc>
          <w:tcPr>
            <w:tcW w:w="680" w:type="dxa"/>
            <w:vMerge w:val="restart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42" w:type="dxa"/>
            <w:vMerge w:val="restart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Merge w:val="restart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Участники мероприятия и их роль при реализации мероприятия</w:t>
            </w:r>
          </w:p>
        </w:tc>
        <w:tc>
          <w:tcPr>
            <w:tcW w:w="1587" w:type="dxa"/>
            <w:vMerge w:val="restart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891" w:type="dxa"/>
            <w:gridSpan w:val="2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Необходимые для реализации мероприятия ресурсы и источники их поступления (тыс. рублей)</w:t>
            </w:r>
          </w:p>
        </w:tc>
        <w:tc>
          <w:tcPr>
            <w:tcW w:w="4491" w:type="dxa"/>
            <w:gridSpan w:val="2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Результаты, достигаемые в ходе выполнения мероприятия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1742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1587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1474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417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211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наименование услуги, оказываемой в ходе выполнения мероприятия</w:t>
            </w:r>
          </w:p>
        </w:tc>
        <w:tc>
          <w:tcPr>
            <w:tcW w:w="22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результат оказания услуги (индивидуальный показатель)</w:t>
            </w: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2" w:type="dxa"/>
          </w:tcPr>
          <w:p w:rsidR="0067305A" w:rsidRDefault="006730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7305A" w:rsidRDefault="006730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7305A" w:rsidRDefault="006730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7305A" w:rsidRDefault="006730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7305A" w:rsidRDefault="006730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7305A" w:rsidRDefault="006730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0" w:type="dxa"/>
          </w:tcPr>
          <w:p w:rsidR="0067305A" w:rsidRDefault="0067305A">
            <w:pPr>
              <w:pStyle w:val="ConsPlusNormal"/>
              <w:jc w:val="center"/>
            </w:pPr>
            <w:r>
              <w:t>8</w:t>
            </w: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742" w:type="dxa"/>
          </w:tcPr>
          <w:p w:rsidR="0067305A" w:rsidRDefault="0067305A">
            <w:pPr>
              <w:pStyle w:val="ConsPlusNormal"/>
            </w:pPr>
          </w:p>
        </w:tc>
        <w:tc>
          <w:tcPr>
            <w:tcW w:w="2211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587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474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417" w:type="dxa"/>
          </w:tcPr>
          <w:p w:rsidR="0067305A" w:rsidRDefault="0067305A">
            <w:pPr>
              <w:pStyle w:val="ConsPlusNormal"/>
            </w:pPr>
          </w:p>
        </w:tc>
        <w:tc>
          <w:tcPr>
            <w:tcW w:w="2211" w:type="dxa"/>
          </w:tcPr>
          <w:p w:rsidR="0067305A" w:rsidRDefault="0067305A">
            <w:pPr>
              <w:pStyle w:val="ConsPlusNormal"/>
            </w:pPr>
          </w:p>
        </w:tc>
        <w:tc>
          <w:tcPr>
            <w:tcW w:w="2280" w:type="dxa"/>
          </w:tcPr>
          <w:p w:rsidR="0067305A" w:rsidRDefault="0067305A">
            <w:pPr>
              <w:pStyle w:val="ConsPlusNormal"/>
            </w:pPr>
          </w:p>
        </w:tc>
      </w:tr>
    </w:tbl>
    <w:p w:rsidR="0067305A" w:rsidRDefault="0067305A">
      <w:pPr>
        <w:sectPr w:rsidR="006730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7305A" w:rsidRDefault="0067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814"/>
        <w:gridCol w:w="340"/>
        <w:gridCol w:w="4932"/>
      </w:tblGrid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  <w:outlineLvl w:val="1"/>
      </w:pPr>
      <w:r>
        <w:t>Приложение N 3</w:t>
      </w:r>
    </w:p>
    <w:p w:rsidR="0067305A" w:rsidRDefault="0067305A">
      <w:pPr>
        <w:pStyle w:val="ConsPlusNormal"/>
        <w:jc w:val="right"/>
      </w:pPr>
      <w:r>
        <w:t>к Порядку определения объема</w:t>
      </w:r>
    </w:p>
    <w:p w:rsidR="0067305A" w:rsidRDefault="0067305A">
      <w:pPr>
        <w:pStyle w:val="ConsPlusNormal"/>
        <w:jc w:val="right"/>
      </w:pPr>
      <w:r>
        <w:t>и условий предоставления субсидий</w:t>
      </w:r>
    </w:p>
    <w:p w:rsidR="0067305A" w:rsidRDefault="0067305A">
      <w:pPr>
        <w:pStyle w:val="ConsPlusNormal"/>
        <w:jc w:val="right"/>
      </w:pPr>
      <w:r>
        <w:t>некоммерческим организациям,</w:t>
      </w:r>
    </w:p>
    <w:p w:rsidR="0067305A" w:rsidRDefault="0067305A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67305A" w:rsidRDefault="0067305A">
      <w:pPr>
        <w:pStyle w:val="ConsPlusNormal"/>
        <w:jc w:val="right"/>
      </w:pPr>
      <w:r>
        <w:t>(муниципальными) учреждениями</w:t>
      </w:r>
    </w:p>
    <w:p w:rsidR="0067305A" w:rsidRDefault="0067305A">
      <w:pPr>
        <w:pStyle w:val="ConsPlusNormal"/>
        <w:jc w:val="right"/>
      </w:pPr>
      <w:r>
        <w:t>и образующим инфраструктуру поддержки</w:t>
      </w:r>
    </w:p>
    <w:p w:rsidR="0067305A" w:rsidRDefault="0067305A">
      <w:pPr>
        <w:pStyle w:val="ConsPlusNormal"/>
        <w:jc w:val="right"/>
      </w:pPr>
      <w:r>
        <w:t>субъектов малого и среднего</w:t>
      </w:r>
    </w:p>
    <w:p w:rsidR="0067305A" w:rsidRDefault="0067305A">
      <w:pPr>
        <w:pStyle w:val="ConsPlusNormal"/>
        <w:jc w:val="right"/>
      </w:pPr>
      <w:r>
        <w:t>предпринимательства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center"/>
      </w:pPr>
      <w:bookmarkStart w:id="9" w:name="P337"/>
      <w:bookmarkEnd w:id="9"/>
      <w:r>
        <w:t>Направление</w:t>
      </w:r>
    </w:p>
    <w:p w:rsidR="0067305A" w:rsidRDefault="0067305A">
      <w:pPr>
        <w:pStyle w:val="ConsPlusNormal"/>
        <w:jc w:val="center"/>
      </w:pPr>
      <w:r>
        <w:t>расходования субсидии на 20__ год</w:t>
      </w:r>
    </w:p>
    <w:p w:rsidR="0067305A" w:rsidRDefault="006730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350"/>
        <w:gridCol w:w="2041"/>
      </w:tblGrid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Объем расходов (тыс. рублей)</w:t>
            </w: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Фонд оплаты труда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Начисления на оплату труда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Приобретение основных сре</w:t>
            </w:r>
            <w:proofErr w:type="gramStart"/>
            <w:r>
              <w:t>дств дл</w:t>
            </w:r>
            <w:proofErr w:type="gramEnd"/>
            <w:r>
              <w:t>я оборудования рабочих мест административно-управленческого персонала (подробно расшифровать)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Приобретение расходных материалов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Командировки (с приложением плана командировок)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Услуги связи (за исключением мобильной связи)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Коммунальные услуги, включая аренду помещений (указать адрес и количество квадратных метров)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Прочие текущие расходы *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Оплата услуг сторонних организаций и физических лиц (указать по видам услуг):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  <w:vAlign w:val="center"/>
          </w:tcPr>
          <w:p w:rsidR="0067305A" w:rsidRDefault="006730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vAlign w:val="center"/>
          </w:tcPr>
          <w:p w:rsidR="0067305A" w:rsidRDefault="0067305A">
            <w:pPr>
              <w:pStyle w:val="ConsPlusNormal"/>
            </w:pPr>
            <w:r>
              <w:t>Итого</w:t>
            </w:r>
          </w:p>
        </w:tc>
        <w:tc>
          <w:tcPr>
            <w:tcW w:w="2041" w:type="dxa"/>
            <w:vAlign w:val="center"/>
          </w:tcPr>
          <w:p w:rsidR="0067305A" w:rsidRDefault="0067305A">
            <w:pPr>
              <w:pStyle w:val="ConsPlusNormal"/>
            </w:pP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>* Расходы на данную статью составляют не более 5 процентов от всей суммы затрат на содержание организации инфраструктуры поддержки субъектов малого и среднего предпринимательства.</w:t>
      </w:r>
    </w:p>
    <w:p w:rsidR="0067305A" w:rsidRDefault="0067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814"/>
        <w:gridCol w:w="340"/>
        <w:gridCol w:w="4932"/>
      </w:tblGrid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lastRenderedPageBreak/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  <w:outlineLvl w:val="1"/>
      </w:pPr>
      <w:r>
        <w:t>Приложение N 4</w:t>
      </w:r>
    </w:p>
    <w:p w:rsidR="0067305A" w:rsidRDefault="0067305A">
      <w:pPr>
        <w:pStyle w:val="ConsPlusNormal"/>
        <w:jc w:val="right"/>
      </w:pPr>
      <w:r>
        <w:t>к Порядку определения объема</w:t>
      </w:r>
    </w:p>
    <w:p w:rsidR="0067305A" w:rsidRDefault="0067305A">
      <w:pPr>
        <w:pStyle w:val="ConsPlusNormal"/>
        <w:jc w:val="right"/>
      </w:pPr>
      <w:r>
        <w:t>и условий предоставления субсидий</w:t>
      </w:r>
    </w:p>
    <w:p w:rsidR="0067305A" w:rsidRDefault="0067305A">
      <w:pPr>
        <w:pStyle w:val="ConsPlusNormal"/>
        <w:jc w:val="right"/>
      </w:pPr>
      <w:r>
        <w:t>некоммерческим организациям,</w:t>
      </w:r>
    </w:p>
    <w:p w:rsidR="0067305A" w:rsidRDefault="0067305A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67305A" w:rsidRDefault="0067305A">
      <w:pPr>
        <w:pStyle w:val="ConsPlusNormal"/>
        <w:jc w:val="right"/>
      </w:pPr>
      <w:r>
        <w:t>(муниципальными) учреждениями</w:t>
      </w:r>
    </w:p>
    <w:p w:rsidR="0067305A" w:rsidRDefault="0067305A">
      <w:pPr>
        <w:pStyle w:val="ConsPlusNormal"/>
        <w:jc w:val="right"/>
      </w:pPr>
      <w:r>
        <w:t>и образующим инфраструктуру поддержки</w:t>
      </w:r>
    </w:p>
    <w:p w:rsidR="0067305A" w:rsidRDefault="0067305A">
      <w:pPr>
        <w:pStyle w:val="ConsPlusNormal"/>
        <w:jc w:val="right"/>
      </w:pPr>
      <w:r>
        <w:t>субъектов малого и среднего</w:t>
      </w:r>
    </w:p>
    <w:p w:rsidR="0067305A" w:rsidRDefault="0067305A">
      <w:pPr>
        <w:pStyle w:val="ConsPlusNormal"/>
        <w:jc w:val="right"/>
      </w:pPr>
      <w:r>
        <w:t>предпринимательства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  <w:r>
        <w:t>ФОРМА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center"/>
      </w:pPr>
      <w:bookmarkStart w:id="10" w:name="P404"/>
      <w:bookmarkEnd w:id="10"/>
      <w:r>
        <w:t>ОТЧЕТ *</w:t>
      </w:r>
    </w:p>
    <w:p w:rsidR="0067305A" w:rsidRDefault="0067305A">
      <w:pPr>
        <w:pStyle w:val="ConsPlusNormal"/>
        <w:jc w:val="center"/>
      </w:pPr>
      <w:r>
        <w:t>о достижении значений показателей результативности</w:t>
      </w:r>
    </w:p>
    <w:p w:rsidR="0067305A" w:rsidRDefault="0067305A">
      <w:pPr>
        <w:pStyle w:val="ConsPlusNormal"/>
        <w:jc w:val="center"/>
      </w:pPr>
      <w:r>
        <w:t>предоставления субсидии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center"/>
      </w:pPr>
      <w:r>
        <w:t>по состоянию на ___________ 20__ года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sectPr w:rsidR="0067305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778"/>
        <w:gridCol w:w="3969"/>
        <w:gridCol w:w="1871"/>
        <w:gridCol w:w="1250"/>
        <w:gridCol w:w="1108"/>
        <w:gridCol w:w="1757"/>
      </w:tblGrid>
      <w:tr w:rsidR="0067305A">
        <w:tc>
          <w:tcPr>
            <w:tcW w:w="680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софинансируемого</w:t>
            </w:r>
            <w:proofErr w:type="spellEnd"/>
            <w:r>
              <w:t xml:space="preserve"> мероприятия</w:t>
            </w:r>
          </w:p>
        </w:tc>
        <w:tc>
          <w:tcPr>
            <w:tcW w:w="3969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 xml:space="preserve">Результаты, достигаемые в ходе выполнения </w:t>
            </w:r>
            <w:proofErr w:type="spellStart"/>
            <w:r>
              <w:t>софинансируемого</w:t>
            </w:r>
            <w:proofErr w:type="spellEnd"/>
            <w:r>
              <w:t xml:space="preserve"> мероприятия</w:t>
            </w:r>
          </w:p>
        </w:tc>
        <w:tc>
          <w:tcPr>
            <w:tcW w:w="1871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58" w:type="dxa"/>
            <w:gridSpan w:val="2"/>
          </w:tcPr>
          <w:p w:rsidR="0067305A" w:rsidRDefault="0067305A">
            <w:pPr>
              <w:pStyle w:val="ConsPlusNormal"/>
              <w:jc w:val="center"/>
            </w:pPr>
            <w:r>
              <w:t>Значение показателя результативности</w:t>
            </w:r>
          </w:p>
        </w:tc>
        <w:tc>
          <w:tcPr>
            <w:tcW w:w="1757" w:type="dxa"/>
            <w:vMerge w:val="restart"/>
          </w:tcPr>
          <w:p w:rsidR="0067305A" w:rsidRDefault="0067305A">
            <w:pPr>
              <w:pStyle w:val="ConsPlusNormal"/>
              <w:jc w:val="center"/>
            </w:pPr>
            <w:r>
              <w:t xml:space="preserve">Причины </w:t>
            </w:r>
            <w:proofErr w:type="spellStart"/>
            <w:r>
              <w:t>недостижения</w:t>
            </w:r>
            <w:proofErr w:type="spellEnd"/>
            <w:r>
              <w:t xml:space="preserve"> показателя</w:t>
            </w:r>
          </w:p>
        </w:tc>
      </w:tr>
      <w:tr w:rsidR="0067305A">
        <w:tc>
          <w:tcPr>
            <w:tcW w:w="680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3969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1871" w:type="dxa"/>
            <w:vMerge/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1250" w:type="dxa"/>
          </w:tcPr>
          <w:p w:rsidR="0067305A" w:rsidRDefault="0067305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08" w:type="dxa"/>
          </w:tcPr>
          <w:p w:rsidR="0067305A" w:rsidRDefault="0067305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757" w:type="dxa"/>
            <w:vMerge/>
          </w:tcPr>
          <w:p w:rsidR="0067305A" w:rsidRDefault="0067305A">
            <w:pPr>
              <w:spacing w:after="1" w:line="0" w:lineRule="atLeast"/>
            </w:pP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7305A" w:rsidRDefault="006730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67305A" w:rsidRDefault="006730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67305A" w:rsidRDefault="006730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0" w:type="dxa"/>
          </w:tcPr>
          <w:p w:rsidR="0067305A" w:rsidRDefault="006730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8" w:type="dxa"/>
          </w:tcPr>
          <w:p w:rsidR="0067305A" w:rsidRDefault="006730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67305A" w:rsidRDefault="0067305A">
            <w:pPr>
              <w:pStyle w:val="ConsPlusNormal"/>
              <w:jc w:val="center"/>
            </w:pPr>
            <w:r>
              <w:t>7</w:t>
            </w: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7305A" w:rsidRDefault="0067305A">
            <w:pPr>
              <w:pStyle w:val="ConsPlusNormal"/>
            </w:pPr>
            <w:r>
              <w:t>Пропаганда и популяризация предпринимательской деятельности, в том числе:</w:t>
            </w:r>
          </w:p>
        </w:tc>
        <w:tc>
          <w:tcPr>
            <w:tcW w:w="3969" w:type="dxa"/>
          </w:tcPr>
          <w:p w:rsidR="0067305A" w:rsidRDefault="0067305A">
            <w:pPr>
              <w:pStyle w:val="ConsPlusNormal"/>
            </w:pPr>
            <w:r>
              <w:t>Общее число участников мероприятия "Пропаганда и популяризация предпринимательской деятельности", в том числе:</w:t>
            </w:r>
          </w:p>
        </w:tc>
        <w:tc>
          <w:tcPr>
            <w:tcW w:w="1871" w:type="dxa"/>
          </w:tcPr>
          <w:p w:rsidR="0067305A" w:rsidRDefault="0067305A">
            <w:pPr>
              <w:pStyle w:val="ConsPlusNormal"/>
            </w:pPr>
            <w:r>
              <w:t>человек</w:t>
            </w:r>
          </w:p>
        </w:tc>
        <w:tc>
          <w:tcPr>
            <w:tcW w:w="1250" w:type="dxa"/>
            <w:vAlign w:val="center"/>
          </w:tcPr>
          <w:p w:rsidR="0067305A" w:rsidRDefault="0067305A">
            <w:pPr>
              <w:pStyle w:val="ConsPlusNormal"/>
            </w:pPr>
          </w:p>
        </w:tc>
        <w:tc>
          <w:tcPr>
            <w:tcW w:w="110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757" w:type="dxa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7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3969" w:type="dxa"/>
          </w:tcPr>
          <w:p w:rsidR="0067305A" w:rsidRDefault="0067305A">
            <w:pPr>
              <w:pStyle w:val="ConsPlusNormal"/>
            </w:pPr>
            <w:r>
              <w:t>Информационные семинары по повышению предпринимательской грамотности</w:t>
            </w:r>
          </w:p>
        </w:tc>
        <w:tc>
          <w:tcPr>
            <w:tcW w:w="1871" w:type="dxa"/>
          </w:tcPr>
          <w:p w:rsidR="0067305A" w:rsidRDefault="0067305A">
            <w:pPr>
              <w:pStyle w:val="ConsPlusNormal"/>
            </w:pPr>
            <w:r>
              <w:t>человек</w:t>
            </w:r>
          </w:p>
        </w:tc>
        <w:tc>
          <w:tcPr>
            <w:tcW w:w="1250" w:type="dxa"/>
            <w:vAlign w:val="center"/>
          </w:tcPr>
          <w:p w:rsidR="0067305A" w:rsidRDefault="0067305A">
            <w:pPr>
              <w:pStyle w:val="ConsPlusNormal"/>
            </w:pPr>
          </w:p>
        </w:tc>
        <w:tc>
          <w:tcPr>
            <w:tcW w:w="110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757" w:type="dxa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7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3969" w:type="dxa"/>
          </w:tcPr>
          <w:p w:rsidR="0067305A" w:rsidRDefault="0067305A">
            <w:pPr>
              <w:pStyle w:val="ConsPlusNormal"/>
            </w:pPr>
            <w:r>
              <w:t>Турниры по деловым переговорам и форумы предпринимателей</w:t>
            </w:r>
          </w:p>
        </w:tc>
        <w:tc>
          <w:tcPr>
            <w:tcW w:w="1871" w:type="dxa"/>
          </w:tcPr>
          <w:p w:rsidR="0067305A" w:rsidRDefault="0067305A">
            <w:pPr>
              <w:pStyle w:val="ConsPlusNormal"/>
            </w:pPr>
            <w:r>
              <w:t>человек</w:t>
            </w:r>
          </w:p>
        </w:tc>
        <w:tc>
          <w:tcPr>
            <w:tcW w:w="1250" w:type="dxa"/>
            <w:vAlign w:val="center"/>
          </w:tcPr>
          <w:p w:rsidR="0067305A" w:rsidRDefault="0067305A">
            <w:pPr>
              <w:pStyle w:val="ConsPlusNormal"/>
            </w:pPr>
          </w:p>
        </w:tc>
        <w:tc>
          <w:tcPr>
            <w:tcW w:w="110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757" w:type="dxa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7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3969" w:type="dxa"/>
          </w:tcPr>
          <w:p w:rsidR="0067305A" w:rsidRDefault="0067305A">
            <w:pPr>
              <w:pStyle w:val="ConsPlusNormal"/>
            </w:pPr>
            <w:r>
              <w:t>Семинары-тренинги "Школа бизнеса"</w:t>
            </w:r>
          </w:p>
        </w:tc>
        <w:tc>
          <w:tcPr>
            <w:tcW w:w="1871" w:type="dxa"/>
          </w:tcPr>
          <w:p w:rsidR="0067305A" w:rsidRDefault="0067305A">
            <w:pPr>
              <w:pStyle w:val="ConsPlusNormal"/>
            </w:pPr>
            <w:r>
              <w:t>человек</w:t>
            </w:r>
          </w:p>
        </w:tc>
        <w:tc>
          <w:tcPr>
            <w:tcW w:w="1250" w:type="dxa"/>
            <w:vAlign w:val="center"/>
          </w:tcPr>
          <w:p w:rsidR="0067305A" w:rsidRDefault="0067305A">
            <w:pPr>
              <w:pStyle w:val="ConsPlusNormal"/>
            </w:pPr>
          </w:p>
        </w:tc>
        <w:tc>
          <w:tcPr>
            <w:tcW w:w="110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757" w:type="dxa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77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3969" w:type="dxa"/>
          </w:tcPr>
          <w:p w:rsidR="0067305A" w:rsidRDefault="0067305A">
            <w:pPr>
              <w:pStyle w:val="ConsPlusNormal"/>
            </w:pPr>
            <w:r>
              <w:t>Конкурсы профессионального мастерства</w:t>
            </w:r>
          </w:p>
        </w:tc>
        <w:tc>
          <w:tcPr>
            <w:tcW w:w="1871" w:type="dxa"/>
            <w:vAlign w:val="center"/>
          </w:tcPr>
          <w:p w:rsidR="0067305A" w:rsidRDefault="0067305A">
            <w:pPr>
              <w:pStyle w:val="ConsPlusNormal"/>
            </w:pPr>
            <w:r>
              <w:t>представители субъектов МСП</w:t>
            </w:r>
          </w:p>
        </w:tc>
        <w:tc>
          <w:tcPr>
            <w:tcW w:w="1250" w:type="dxa"/>
            <w:vAlign w:val="center"/>
          </w:tcPr>
          <w:p w:rsidR="0067305A" w:rsidRDefault="0067305A">
            <w:pPr>
              <w:pStyle w:val="ConsPlusNormal"/>
            </w:pPr>
          </w:p>
        </w:tc>
        <w:tc>
          <w:tcPr>
            <w:tcW w:w="110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757" w:type="dxa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80" w:type="dxa"/>
          </w:tcPr>
          <w:p w:rsidR="0067305A" w:rsidRDefault="0067305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77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3969" w:type="dxa"/>
          </w:tcPr>
          <w:p w:rsidR="0067305A" w:rsidRDefault="0067305A">
            <w:pPr>
              <w:pStyle w:val="ConsPlusNormal"/>
            </w:pPr>
            <w:r>
              <w:t>Семинары и индивидуальные консультации по вопросам участия в конкурсах в целях получения государственной поддержки</w:t>
            </w:r>
          </w:p>
        </w:tc>
        <w:tc>
          <w:tcPr>
            <w:tcW w:w="1871" w:type="dxa"/>
            <w:vAlign w:val="center"/>
          </w:tcPr>
          <w:p w:rsidR="0067305A" w:rsidRDefault="0067305A">
            <w:pPr>
              <w:pStyle w:val="ConsPlusNormal"/>
            </w:pPr>
            <w:r>
              <w:t>человек</w:t>
            </w:r>
          </w:p>
        </w:tc>
        <w:tc>
          <w:tcPr>
            <w:tcW w:w="1250" w:type="dxa"/>
            <w:vAlign w:val="center"/>
          </w:tcPr>
          <w:p w:rsidR="0067305A" w:rsidRDefault="0067305A">
            <w:pPr>
              <w:pStyle w:val="ConsPlusNormal"/>
            </w:pPr>
          </w:p>
        </w:tc>
        <w:tc>
          <w:tcPr>
            <w:tcW w:w="110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1757" w:type="dxa"/>
          </w:tcPr>
          <w:p w:rsidR="0067305A" w:rsidRDefault="0067305A">
            <w:pPr>
              <w:pStyle w:val="ConsPlusNormal"/>
            </w:pPr>
          </w:p>
        </w:tc>
      </w:tr>
      <w:tr w:rsidR="0067305A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bottom w:val="nil"/>
            </w:tcBorders>
          </w:tcPr>
          <w:p w:rsidR="0067305A" w:rsidRDefault="0067305A">
            <w:pPr>
              <w:pStyle w:val="ConsPlusNormal"/>
            </w:pPr>
            <w:r>
              <w:t xml:space="preserve">Обеспечение функционирования раздела муниципального образования на официальном сайте Свердловской области в </w:t>
            </w:r>
            <w:r>
              <w:lastRenderedPageBreak/>
              <w:t>сфере развития малого и среднего предпринимательства (www.66msp.ru)</w:t>
            </w:r>
          </w:p>
        </w:tc>
        <w:tc>
          <w:tcPr>
            <w:tcW w:w="3969" w:type="dxa"/>
            <w:tcBorders>
              <w:bottom w:val="nil"/>
            </w:tcBorders>
          </w:tcPr>
          <w:p w:rsidR="0067305A" w:rsidRDefault="0067305A">
            <w:pPr>
              <w:pStyle w:val="ConsPlusNormal"/>
            </w:pPr>
            <w:r>
              <w:lastRenderedPageBreak/>
              <w:t>Размещение в разделе муниципального образования на официальном сайте Свердловской области в сфере развития малого и среднего предпринимательства (www.66msp.ru) информации:</w:t>
            </w:r>
          </w:p>
          <w:p w:rsidR="0067305A" w:rsidRDefault="0067305A">
            <w:pPr>
              <w:pStyle w:val="ConsPlusNormal"/>
            </w:pPr>
            <w:r>
              <w:lastRenderedPageBreak/>
              <w:t>- о проводимых мероприятиях, направленных на продвижение территории муниципального образования (привлечение инвесторов на территорию муниципального образования);</w:t>
            </w:r>
          </w:p>
          <w:p w:rsidR="0067305A" w:rsidRDefault="0067305A">
            <w:pPr>
              <w:pStyle w:val="ConsPlusNormal"/>
            </w:pPr>
            <w:r>
              <w:t>- об организациях, образующих инфраструктуру поддержки субъектов малого и среднего предпринимательства, условиях и порядке оказания такими организациями поддержки субъектам малого и среднего предпринимательства;</w:t>
            </w:r>
          </w:p>
          <w:p w:rsidR="0067305A" w:rsidRDefault="0067305A">
            <w:pPr>
              <w:pStyle w:val="ConsPlusNormal"/>
            </w:pPr>
            <w:r>
              <w:t>- о муниципальном имуществе, включенном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</w:t>
            </w:r>
          </w:p>
        </w:tc>
        <w:tc>
          <w:tcPr>
            <w:tcW w:w="1871" w:type="dxa"/>
            <w:tcBorders>
              <w:bottom w:val="nil"/>
            </w:tcBorders>
            <w:vAlign w:val="bottom"/>
          </w:tcPr>
          <w:p w:rsidR="0067305A" w:rsidRDefault="0067305A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67305A" w:rsidRDefault="0067305A">
            <w:pPr>
              <w:pStyle w:val="ConsPlusNormal"/>
            </w:pPr>
          </w:p>
        </w:tc>
        <w:tc>
          <w:tcPr>
            <w:tcW w:w="1108" w:type="dxa"/>
            <w:tcBorders>
              <w:bottom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67305A" w:rsidRDefault="0067305A">
            <w:pPr>
              <w:pStyle w:val="ConsPlusNormal"/>
            </w:pPr>
          </w:p>
        </w:tc>
      </w:tr>
      <w:tr w:rsidR="0067305A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67305A" w:rsidRDefault="0067305A">
            <w:pPr>
              <w:pStyle w:val="ConsPlusNormal"/>
            </w:pPr>
            <w:r>
              <w:t>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67305A" w:rsidRDefault="0067305A">
            <w:pPr>
              <w:pStyle w:val="ConsPlusNormal"/>
            </w:pPr>
            <w:r>
              <w:t xml:space="preserve">-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</w:t>
            </w:r>
            <w:r>
              <w:lastRenderedPageBreak/>
              <w:t>поддержки субъектов малого и среднего предпринимательства;</w:t>
            </w:r>
          </w:p>
          <w:p w:rsidR="0067305A" w:rsidRDefault="0067305A">
            <w:pPr>
              <w:pStyle w:val="ConsPlusNormal"/>
            </w:pPr>
            <w:r>
              <w:t>- о реестре субъектов малого и среднего предпринимательства - получателей поддержки; иной необходимой для развития субъектов малого и среднего предпринимательства информации (экономической, правовой, статистической, производственно-технологической, информации в области маркетинга)</w:t>
            </w:r>
          </w:p>
        </w:tc>
        <w:tc>
          <w:tcPr>
            <w:tcW w:w="1871" w:type="dxa"/>
            <w:tcBorders>
              <w:top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250" w:type="dxa"/>
            <w:tcBorders>
              <w:top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108" w:type="dxa"/>
            <w:tcBorders>
              <w:top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:rsidR="0067305A" w:rsidRDefault="0067305A">
            <w:pPr>
              <w:pStyle w:val="ConsPlusNormal"/>
            </w:pPr>
          </w:p>
        </w:tc>
      </w:tr>
    </w:tbl>
    <w:p w:rsidR="0067305A" w:rsidRDefault="0067305A">
      <w:pPr>
        <w:sectPr w:rsidR="006730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7305A" w:rsidRDefault="0067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814"/>
        <w:gridCol w:w="340"/>
        <w:gridCol w:w="4932"/>
      </w:tblGrid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>* Заполняется нарастающим итогом за отчетный квартал.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  <w:outlineLvl w:val="1"/>
      </w:pPr>
      <w:r>
        <w:t>Приложение N 5</w:t>
      </w:r>
    </w:p>
    <w:p w:rsidR="0067305A" w:rsidRDefault="0067305A">
      <w:pPr>
        <w:pStyle w:val="ConsPlusNormal"/>
        <w:jc w:val="right"/>
      </w:pPr>
      <w:r>
        <w:t>к Порядку определения объема</w:t>
      </w:r>
    </w:p>
    <w:p w:rsidR="0067305A" w:rsidRDefault="0067305A">
      <w:pPr>
        <w:pStyle w:val="ConsPlusNormal"/>
        <w:jc w:val="right"/>
      </w:pPr>
      <w:r>
        <w:t>и условий предоставления субсидий</w:t>
      </w:r>
    </w:p>
    <w:p w:rsidR="0067305A" w:rsidRDefault="0067305A">
      <w:pPr>
        <w:pStyle w:val="ConsPlusNormal"/>
        <w:jc w:val="right"/>
      </w:pPr>
      <w:r>
        <w:t>некоммерческим организациям,</w:t>
      </w:r>
    </w:p>
    <w:p w:rsidR="0067305A" w:rsidRDefault="0067305A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67305A" w:rsidRDefault="0067305A">
      <w:pPr>
        <w:pStyle w:val="ConsPlusNormal"/>
        <w:jc w:val="right"/>
      </w:pPr>
      <w:r>
        <w:t>(муниципальными) учреждениями</w:t>
      </w:r>
    </w:p>
    <w:p w:rsidR="0067305A" w:rsidRDefault="0067305A">
      <w:pPr>
        <w:pStyle w:val="ConsPlusNormal"/>
        <w:jc w:val="right"/>
      </w:pPr>
      <w:r>
        <w:t>и образующим инфраструктуру поддержки</w:t>
      </w:r>
    </w:p>
    <w:p w:rsidR="0067305A" w:rsidRDefault="0067305A">
      <w:pPr>
        <w:pStyle w:val="ConsPlusNormal"/>
        <w:jc w:val="right"/>
      </w:pPr>
      <w:r>
        <w:t>субъектов малого и среднего</w:t>
      </w:r>
    </w:p>
    <w:p w:rsidR="0067305A" w:rsidRDefault="0067305A">
      <w:pPr>
        <w:pStyle w:val="ConsPlusNormal"/>
        <w:jc w:val="right"/>
      </w:pPr>
      <w:r>
        <w:t>предпринимательства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  <w:r>
        <w:t>ФОРМА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center"/>
      </w:pPr>
      <w:bookmarkStart w:id="11" w:name="P517"/>
      <w:bookmarkEnd w:id="11"/>
      <w:r>
        <w:t>Акт</w:t>
      </w:r>
    </w:p>
    <w:p w:rsidR="0067305A" w:rsidRDefault="0067305A">
      <w:pPr>
        <w:pStyle w:val="ConsPlusNormal"/>
        <w:jc w:val="center"/>
      </w:pPr>
      <w:r>
        <w:t>выполненных работ об использовании субсидии, предоставленной</w:t>
      </w:r>
    </w:p>
    <w:p w:rsidR="0067305A" w:rsidRDefault="0067305A">
      <w:pPr>
        <w:pStyle w:val="ConsPlusNormal"/>
        <w:jc w:val="center"/>
      </w:pPr>
      <w:r>
        <w:t>в рамках соглашения за ________ квартал 20__ года</w:t>
      </w:r>
    </w:p>
    <w:p w:rsidR="0067305A" w:rsidRDefault="006730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118"/>
        <w:gridCol w:w="2835"/>
        <w:gridCol w:w="2494"/>
      </w:tblGrid>
      <w:tr w:rsidR="0067305A">
        <w:tc>
          <w:tcPr>
            <w:tcW w:w="624" w:type="dxa"/>
          </w:tcPr>
          <w:p w:rsidR="0067305A" w:rsidRDefault="006730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67305A" w:rsidRDefault="0067305A">
            <w:pPr>
              <w:pStyle w:val="ConsPlusNormal"/>
              <w:jc w:val="center"/>
            </w:pPr>
            <w:r>
              <w:t xml:space="preserve">Наименование услуги, оказываемой в ходе выполнения </w:t>
            </w:r>
            <w:proofErr w:type="spellStart"/>
            <w:r>
              <w:t>софинансируемого</w:t>
            </w:r>
            <w:proofErr w:type="spellEnd"/>
            <w:r>
              <w:t xml:space="preserve"> мероприятия</w:t>
            </w:r>
          </w:p>
        </w:tc>
        <w:tc>
          <w:tcPr>
            <w:tcW w:w="2835" w:type="dxa"/>
          </w:tcPr>
          <w:p w:rsidR="0067305A" w:rsidRDefault="0067305A">
            <w:pPr>
              <w:pStyle w:val="ConsPlusNormal"/>
              <w:jc w:val="center"/>
            </w:pPr>
            <w:r>
              <w:t xml:space="preserve">Результаты, достигнутые в ходе выполнения </w:t>
            </w:r>
            <w:proofErr w:type="spellStart"/>
            <w:r>
              <w:t>софинансируемого</w:t>
            </w:r>
            <w:proofErr w:type="spellEnd"/>
            <w:r>
              <w:t xml:space="preserve"> мероприятия</w:t>
            </w:r>
          </w:p>
        </w:tc>
        <w:tc>
          <w:tcPr>
            <w:tcW w:w="2494" w:type="dxa"/>
          </w:tcPr>
          <w:p w:rsidR="0067305A" w:rsidRDefault="0067305A">
            <w:pPr>
              <w:pStyle w:val="ConsPlusNormal"/>
              <w:jc w:val="center"/>
            </w:pPr>
            <w:r>
              <w:t>Объем субсидий, направленный на исполнение мероприятия, руб.</w:t>
            </w:r>
          </w:p>
        </w:tc>
      </w:tr>
      <w:tr w:rsidR="0067305A">
        <w:tc>
          <w:tcPr>
            <w:tcW w:w="624" w:type="dxa"/>
          </w:tcPr>
          <w:p w:rsidR="0067305A" w:rsidRDefault="006730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7305A" w:rsidRDefault="006730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7305A" w:rsidRDefault="006730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67305A" w:rsidRDefault="0067305A">
            <w:pPr>
              <w:pStyle w:val="ConsPlusNormal"/>
              <w:jc w:val="center"/>
            </w:pPr>
            <w:r>
              <w:t>4</w:t>
            </w:r>
          </w:p>
        </w:tc>
      </w:tr>
      <w:tr w:rsidR="0067305A">
        <w:tc>
          <w:tcPr>
            <w:tcW w:w="624" w:type="dxa"/>
          </w:tcPr>
          <w:p w:rsidR="0067305A" w:rsidRDefault="0067305A">
            <w:pPr>
              <w:pStyle w:val="ConsPlusNormal"/>
            </w:pPr>
          </w:p>
        </w:tc>
        <w:tc>
          <w:tcPr>
            <w:tcW w:w="311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2835" w:type="dxa"/>
          </w:tcPr>
          <w:p w:rsidR="0067305A" w:rsidRDefault="0067305A">
            <w:pPr>
              <w:pStyle w:val="ConsPlusNormal"/>
            </w:pPr>
          </w:p>
        </w:tc>
        <w:tc>
          <w:tcPr>
            <w:tcW w:w="2494" w:type="dxa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24" w:type="dxa"/>
          </w:tcPr>
          <w:p w:rsidR="0067305A" w:rsidRDefault="0067305A">
            <w:pPr>
              <w:pStyle w:val="ConsPlusNormal"/>
            </w:pPr>
          </w:p>
        </w:tc>
        <w:tc>
          <w:tcPr>
            <w:tcW w:w="3118" w:type="dxa"/>
          </w:tcPr>
          <w:p w:rsidR="0067305A" w:rsidRDefault="0067305A">
            <w:pPr>
              <w:pStyle w:val="ConsPlusNormal"/>
            </w:pPr>
          </w:p>
        </w:tc>
        <w:tc>
          <w:tcPr>
            <w:tcW w:w="2835" w:type="dxa"/>
          </w:tcPr>
          <w:p w:rsidR="0067305A" w:rsidRDefault="0067305A">
            <w:pPr>
              <w:pStyle w:val="ConsPlusNormal"/>
            </w:pPr>
          </w:p>
        </w:tc>
        <w:tc>
          <w:tcPr>
            <w:tcW w:w="2494" w:type="dxa"/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6577" w:type="dxa"/>
            <w:gridSpan w:val="3"/>
          </w:tcPr>
          <w:p w:rsidR="0067305A" w:rsidRDefault="0067305A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vAlign w:val="center"/>
          </w:tcPr>
          <w:p w:rsidR="0067305A" w:rsidRDefault="0067305A">
            <w:pPr>
              <w:pStyle w:val="ConsPlusNormal"/>
            </w:pPr>
          </w:p>
        </w:tc>
      </w:tr>
    </w:tbl>
    <w:p w:rsidR="0067305A" w:rsidRDefault="0067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814"/>
        <w:gridCol w:w="340"/>
        <w:gridCol w:w="4932"/>
      </w:tblGrid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05A" w:rsidRDefault="0067305A">
            <w:pPr>
              <w:pStyle w:val="ConsPlusNormal"/>
            </w:pPr>
          </w:p>
        </w:tc>
      </w:tr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30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  <w:outlineLvl w:val="0"/>
      </w:pPr>
      <w:r>
        <w:t>Утверждено</w:t>
      </w:r>
    </w:p>
    <w:p w:rsidR="0067305A" w:rsidRDefault="0067305A">
      <w:pPr>
        <w:pStyle w:val="ConsPlusNormal"/>
        <w:jc w:val="right"/>
      </w:pPr>
      <w:r>
        <w:t>Постановлением администрации</w:t>
      </w:r>
    </w:p>
    <w:p w:rsidR="0067305A" w:rsidRDefault="0067305A">
      <w:pPr>
        <w:pStyle w:val="ConsPlusNormal"/>
        <w:jc w:val="right"/>
      </w:pPr>
      <w:proofErr w:type="spellStart"/>
      <w:r>
        <w:t>Серовского</w:t>
      </w:r>
      <w:proofErr w:type="spellEnd"/>
      <w:r>
        <w:t xml:space="preserve"> городского округа</w:t>
      </w:r>
    </w:p>
    <w:p w:rsidR="0067305A" w:rsidRDefault="0067305A">
      <w:pPr>
        <w:pStyle w:val="ConsPlusNormal"/>
        <w:jc w:val="right"/>
      </w:pPr>
      <w:r>
        <w:t>от 26 мая 2020 г. N 761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</w:pPr>
      <w:bookmarkStart w:id="12" w:name="P561"/>
      <w:bookmarkEnd w:id="12"/>
      <w:r>
        <w:t>ПОЛОЖЕНИЕ</w:t>
      </w:r>
    </w:p>
    <w:p w:rsidR="0067305A" w:rsidRDefault="0067305A">
      <w:pPr>
        <w:pStyle w:val="ConsPlusTitle"/>
        <w:jc w:val="center"/>
      </w:pPr>
      <w:r>
        <w:t xml:space="preserve">О КОМИССИИ ПО ПРЕДОСТАВЛЕНИЮ СУБСИДИЙ </w:t>
      </w:r>
      <w:proofErr w:type="gramStart"/>
      <w:r>
        <w:t>НЕКОММЕРЧЕСКИМ</w:t>
      </w:r>
      <w:proofErr w:type="gramEnd"/>
    </w:p>
    <w:p w:rsidR="0067305A" w:rsidRDefault="0067305A">
      <w:pPr>
        <w:pStyle w:val="ConsPlusTitle"/>
        <w:jc w:val="center"/>
      </w:pPr>
      <w:r>
        <w:t>ОРГАНИЗАЦИЯМ, НЕ ЯВЛЯЮЩИМСЯ ГОСУДАРСТВЕННЫМИ</w:t>
      </w:r>
    </w:p>
    <w:p w:rsidR="0067305A" w:rsidRDefault="0067305A">
      <w:pPr>
        <w:pStyle w:val="ConsPlusTitle"/>
        <w:jc w:val="center"/>
      </w:pPr>
      <w:r>
        <w:t>(МУНИЦИПАЛЬНЫМИ) УЧРЕЖДЕНИЯМИ И ОБРАЗУЮЩИМ ИНФРАСТРУКТУРУ</w:t>
      </w:r>
    </w:p>
    <w:p w:rsidR="0067305A" w:rsidRDefault="0067305A">
      <w:pPr>
        <w:pStyle w:val="ConsPlusTitle"/>
        <w:jc w:val="center"/>
      </w:pPr>
      <w:r>
        <w:t>ПОДДЕРЖКИ СУБЪЕКТОВ МАЛОГО И СРЕДНЕГО ПРЕДПРИНИМАТЕЛЬСТВА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  <w:outlineLvl w:val="1"/>
      </w:pPr>
      <w:r>
        <w:t>Раздел I. ОБЩИЕ ПОЛОЖЕНИЯ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формирования и работы комиссии по предоставлению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предпринимательства, на реализацию мероприятий муниципальной </w:t>
      </w:r>
      <w:hyperlink r:id="rId24" w:history="1">
        <w:r>
          <w:rPr>
            <w:color w:val="0000FF"/>
          </w:rPr>
          <w:t>программы</w:t>
        </w:r>
      </w:hyperlink>
      <w:r>
        <w:t xml:space="preserve"> "Содействие развитию малого и среднего предпринимательства в </w:t>
      </w:r>
      <w:proofErr w:type="spellStart"/>
      <w:r>
        <w:t>Серовском</w:t>
      </w:r>
      <w:proofErr w:type="spellEnd"/>
      <w:r>
        <w:t xml:space="preserve"> городском округе до 2024 года", утвержденной Постановлением администрации </w:t>
      </w:r>
      <w:proofErr w:type="spellStart"/>
      <w:r>
        <w:t>Серовского</w:t>
      </w:r>
      <w:proofErr w:type="spellEnd"/>
      <w:r>
        <w:t xml:space="preserve"> городского округа от 12.04.2019 N 853 (далее - Комиссия).</w:t>
      </w:r>
      <w:proofErr w:type="gramEnd"/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своей деятельности Комиссия руководствуется Бюджетным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2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27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w:anchor="P36" w:history="1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</w:t>
      </w:r>
      <w:proofErr w:type="gramEnd"/>
      <w:r>
        <w:t>, и настоящим Положением.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  <w:outlineLvl w:val="1"/>
      </w:pPr>
      <w:r>
        <w:t>Раздел II. СОСТАВ КОМИССИИ, ЕЕ ОСНОВНЫЕ ФУНКЦИИ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>3. Комиссия состоит из председателя, секретаря и членов Комиссии.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4. Председателем Комиссии является первый заместитель главы администрации </w:t>
      </w:r>
      <w:proofErr w:type="spellStart"/>
      <w:r>
        <w:t>Серовского</w:t>
      </w:r>
      <w:proofErr w:type="spellEnd"/>
      <w:r>
        <w:t xml:space="preserve"> городского округа.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5. Секретарем Комиссии является главный специалист отдела социально-экономического развития и оценки комплексных программ комитета экономики администрации </w:t>
      </w:r>
      <w:proofErr w:type="spellStart"/>
      <w:r>
        <w:t>Серовского</w:t>
      </w:r>
      <w:proofErr w:type="spellEnd"/>
      <w:r>
        <w:t xml:space="preserve"> городского округа.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6. Состав Комиссии формируется из представителей администрации </w:t>
      </w:r>
      <w:proofErr w:type="spellStart"/>
      <w:r>
        <w:t>Серовского</w:t>
      </w:r>
      <w:proofErr w:type="spellEnd"/>
      <w:r>
        <w:t xml:space="preserve"> городского округа, Думы </w:t>
      </w:r>
      <w:proofErr w:type="spellStart"/>
      <w:r>
        <w:t>Серовского</w:t>
      </w:r>
      <w:proofErr w:type="spellEnd"/>
      <w:r>
        <w:t xml:space="preserve"> городского округа, Координационного совета по инвестициям и содействию развития малого и среднего предпринимательства в </w:t>
      </w:r>
      <w:proofErr w:type="spellStart"/>
      <w:r>
        <w:t>Серовском</w:t>
      </w:r>
      <w:proofErr w:type="spellEnd"/>
      <w:r>
        <w:t xml:space="preserve"> городском округе (по согласованию) в количестве 9 человек.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7. Состав Комиссии утверждается постановлением администрации </w:t>
      </w:r>
      <w:proofErr w:type="spellStart"/>
      <w:r>
        <w:t>Серовского</w:t>
      </w:r>
      <w:proofErr w:type="spellEnd"/>
      <w:r>
        <w:t xml:space="preserve"> городского округа.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8. Основными функциями Комиссии являются:</w:t>
      </w:r>
    </w:p>
    <w:p w:rsidR="0067305A" w:rsidRDefault="0067305A">
      <w:pPr>
        <w:pStyle w:val="ConsPlusNormal"/>
        <w:spacing w:before="220"/>
        <w:ind w:firstLine="540"/>
        <w:jc w:val="both"/>
      </w:pPr>
      <w:proofErr w:type="gramStart"/>
      <w:r>
        <w:t>1) рассмотрение заявок на предоставление субсидии, по каждой из которых рассчитывается общий оценочный балл;</w:t>
      </w:r>
      <w:proofErr w:type="gramEnd"/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2) определение организации - победителя конкурса на право получения субсидии в соответствии с Порядком определения объема и условий предоставления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предпринимательства, утвержденным постановлением администрации </w:t>
      </w:r>
      <w:proofErr w:type="spellStart"/>
      <w:r>
        <w:t>Серовского</w:t>
      </w:r>
      <w:proofErr w:type="spellEnd"/>
      <w:r>
        <w:t xml:space="preserve"> городского округа;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3) принятие решений: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- рекомендовать главе </w:t>
      </w:r>
      <w:proofErr w:type="spellStart"/>
      <w:r>
        <w:t>Серовского</w:t>
      </w:r>
      <w:proofErr w:type="spellEnd"/>
      <w:r>
        <w:t xml:space="preserve"> городского округа удовлетворить заявку организации - победителя конкурса на предоставление субсидии;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- отказать в предоставлении субсидии.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  <w:outlineLvl w:val="1"/>
      </w:pPr>
      <w:r>
        <w:t>Раздел III. ПРАВА И ОБЯЗАННОСТИ КОМИССИИ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>9. Председатель Комиссии: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2) ведет заседания Комиссии;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3) подписывает протокол заседания Комиссии и другие документы, подготовленные Комиссией.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10. Секретарь Комиссии: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1) ведет рабочую документацию Комиссии, своевременно оповещает членов Комиссии о сроках и месте проведения заседания и знакомит их с материалами, подготовленными для рассмотрения на заседании Комиссии;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2) составляет протокол заседания Комиссии;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3) подписывает протокол заседания Комиссии;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4) выполняет поручения председателя Комиссии, связанные с работой Комиссии.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11. Члены Комиссии имеют право: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1) выступать на заседании Комиссии, вносить предложения по вопросам, входящим в компетенцию Комиссии, голосовать по обсуждаемым вопросам;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2) знакомиться с документами, представленными в составе заявок организаций о предоставлении субсидии;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3) в случае несогласия с решением Комиссии излагать свое особое мнение, которое подлежит отражению в протоколе Комиссии.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12. Члены Комиссии обязаны: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1) присутствовать на заседаниях Комиссии;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2) подписывать протокол заседания Комиссии;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3) заблаговременно извещать председателя Комиссии о невозможности присутствия на заседании Комиссии;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4) не разглашать ставшую известной членам Комиссии при осуществлении ими своих полномочий конфиденциальную информацию;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5) выполнять требования настоящего Положения.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  <w:outlineLvl w:val="1"/>
      </w:pPr>
      <w:r>
        <w:t>Раздел IV. ПОРЯДОК ПРОВЕДЕНИЯ ЗАСЕДАНИЙ КОМИССИИ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ind w:firstLine="540"/>
        <w:jc w:val="both"/>
      </w:pPr>
      <w:r>
        <w:t>13. Комиссия созывается председателем Комиссии на заседания в сроки, установленные Порядком определения объема и условий предоставления субсидий некоммерческим организациям, не являющимся государственными (муниципальными) учреждениями и образующим инфраструктуру поддержки субъектов малого и среднего предпринимательства.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 xml:space="preserve">14. Ответственным за подготовку и проведение заседаний Комиссии является комитет экономики администрации </w:t>
      </w:r>
      <w:proofErr w:type="spellStart"/>
      <w:r>
        <w:t>Серовского</w:t>
      </w:r>
      <w:proofErr w:type="spellEnd"/>
      <w:r>
        <w:t xml:space="preserve"> городского округа.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15. Решения Комиссии являются правомочными, если на ее заседании присутствовали не менее половины ее состава.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16. Решения Комиссии принимаются простым большинством голосов присутствующих на заседании Комиссии.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lastRenderedPageBreak/>
        <w:t>17. Решение Комиссии оформляется протоколом, который ведет секретарь Комиссии.</w:t>
      </w:r>
    </w:p>
    <w:p w:rsidR="0067305A" w:rsidRDefault="0067305A">
      <w:pPr>
        <w:pStyle w:val="ConsPlusNormal"/>
        <w:spacing w:before="220"/>
        <w:ind w:firstLine="540"/>
        <w:jc w:val="both"/>
      </w:pPr>
      <w:r>
        <w:t>18. Секретарь Комиссии в течение трех рабочих дней после подписания протокола Комиссии извещает организации о принятом Комиссией решении.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right"/>
        <w:outlineLvl w:val="0"/>
      </w:pPr>
      <w:r>
        <w:t>Утвержден</w:t>
      </w:r>
    </w:p>
    <w:p w:rsidR="0067305A" w:rsidRDefault="0067305A">
      <w:pPr>
        <w:pStyle w:val="ConsPlusNormal"/>
        <w:jc w:val="right"/>
      </w:pPr>
      <w:r>
        <w:t>Постановлением администрации</w:t>
      </w:r>
    </w:p>
    <w:p w:rsidR="0067305A" w:rsidRDefault="0067305A">
      <w:pPr>
        <w:pStyle w:val="ConsPlusNormal"/>
        <w:jc w:val="right"/>
      </w:pPr>
      <w:proofErr w:type="spellStart"/>
      <w:r>
        <w:t>Серовского</w:t>
      </w:r>
      <w:proofErr w:type="spellEnd"/>
      <w:r>
        <w:t xml:space="preserve"> городского округа</w:t>
      </w:r>
    </w:p>
    <w:p w:rsidR="0067305A" w:rsidRDefault="0067305A">
      <w:pPr>
        <w:pStyle w:val="ConsPlusNormal"/>
        <w:jc w:val="right"/>
      </w:pPr>
      <w:r>
        <w:t>от 26 мая 2020 г. N 761</w:t>
      </w: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Title"/>
        <w:jc w:val="center"/>
      </w:pPr>
      <w:bookmarkStart w:id="13" w:name="P626"/>
      <w:bookmarkEnd w:id="13"/>
      <w:r>
        <w:t>СОСТАВ</w:t>
      </w:r>
    </w:p>
    <w:p w:rsidR="0067305A" w:rsidRDefault="0067305A">
      <w:pPr>
        <w:pStyle w:val="ConsPlusTitle"/>
        <w:jc w:val="center"/>
      </w:pPr>
      <w:r>
        <w:t xml:space="preserve">КОМИССИИ ПО ПРЕДОСТАВЛЕНИЮ СУБСИДИЙ </w:t>
      </w:r>
      <w:proofErr w:type="gramStart"/>
      <w:r>
        <w:t>НЕКОММЕРЧЕСКИМ</w:t>
      </w:r>
      <w:proofErr w:type="gramEnd"/>
    </w:p>
    <w:p w:rsidR="0067305A" w:rsidRDefault="0067305A">
      <w:pPr>
        <w:pStyle w:val="ConsPlusTitle"/>
        <w:jc w:val="center"/>
      </w:pPr>
      <w:r>
        <w:t>ОРГАНИЗАЦИЯМ, НЕ ЯВЛЯЮЩИМСЯ ГОСУДАРСТВЕННЫМИ</w:t>
      </w:r>
    </w:p>
    <w:p w:rsidR="0067305A" w:rsidRDefault="0067305A">
      <w:pPr>
        <w:pStyle w:val="ConsPlusTitle"/>
        <w:jc w:val="center"/>
      </w:pPr>
      <w:r>
        <w:t>(МУНИЦИПАЛЬНЫМИ) УЧРЕЖДЕНИЯМИ И ОБРАЗУЮЩИМ</w:t>
      </w:r>
    </w:p>
    <w:p w:rsidR="0067305A" w:rsidRDefault="0067305A">
      <w:pPr>
        <w:pStyle w:val="ConsPlusTitle"/>
        <w:jc w:val="center"/>
      </w:pPr>
      <w:r>
        <w:t>ИНФРАСТРУКТУРУ ПОДДЕРЖКИ СУБЪЕКТОВ МАЛОГО</w:t>
      </w:r>
    </w:p>
    <w:p w:rsidR="0067305A" w:rsidRDefault="0067305A">
      <w:pPr>
        <w:pStyle w:val="ConsPlusTitle"/>
        <w:jc w:val="center"/>
      </w:pPr>
      <w:r>
        <w:t>И СРЕДНЕГО ПРЕДПРИНИМАТЕЛЬСТВА</w:t>
      </w:r>
    </w:p>
    <w:p w:rsidR="0067305A" w:rsidRDefault="006730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061"/>
        <w:gridCol w:w="113"/>
      </w:tblGrid>
      <w:tr w:rsidR="006730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05A" w:rsidRDefault="006730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05A" w:rsidRDefault="006730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Серовского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  <w:proofErr w:type="gramEnd"/>
          </w:p>
          <w:p w:rsidR="0067305A" w:rsidRDefault="0067305A">
            <w:pPr>
              <w:pStyle w:val="ConsPlusNormal"/>
              <w:jc w:val="center"/>
            </w:pPr>
            <w:r>
              <w:rPr>
                <w:color w:val="392C69"/>
              </w:rPr>
              <w:t>от 24.03.2021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05A" w:rsidRDefault="0067305A">
            <w:pPr>
              <w:spacing w:after="1" w:line="0" w:lineRule="atLeast"/>
            </w:pPr>
          </w:p>
        </w:tc>
      </w:tr>
    </w:tbl>
    <w:p w:rsidR="0067305A" w:rsidRDefault="0067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340"/>
        <w:gridCol w:w="5839"/>
      </w:tblGrid>
      <w:tr w:rsidR="0067305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Председатель комиссии: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proofErr w:type="spellStart"/>
            <w:r>
              <w:t>Пикулев</w:t>
            </w:r>
            <w:proofErr w:type="spellEnd"/>
          </w:p>
          <w:p w:rsidR="0067305A" w:rsidRDefault="0067305A">
            <w:pPr>
              <w:pStyle w:val="ConsPlusNormal"/>
            </w:pPr>
            <w:r>
              <w:t>Андрей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 xml:space="preserve">первый заместитель главы администрации </w:t>
            </w:r>
            <w:proofErr w:type="spellStart"/>
            <w:r>
              <w:t>Серовского</w:t>
            </w:r>
            <w:proofErr w:type="spellEnd"/>
            <w:r>
              <w:t xml:space="preserve"> городского округа</w:t>
            </w:r>
          </w:p>
        </w:tc>
      </w:tr>
      <w:tr w:rsidR="0067305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Заместитель председателя комиссии: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Иванова</w:t>
            </w:r>
          </w:p>
          <w:p w:rsidR="0067305A" w:rsidRDefault="0067305A">
            <w:pPr>
              <w:pStyle w:val="ConsPlusNormal"/>
            </w:pPr>
            <w:r>
              <w:t>Наталья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 xml:space="preserve">заместитель главы администрации </w:t>
            </w:r>
            <w:proofErr w:type="spellStart"/>
            <w:r>
              <w:t>Серовского</w:t>
            </w:r>
            <w:proofErr w:type="spellEnd"/>
            <w:r>
              <w:t xml:space="preserve"> городского округа - начальник функционального органа "Финансовое управление администрации </w:t>
            </w:r>
            <w:proofErr w:type="spellStart"/>
            <w:r>
              <w:t>Серовского</w:t>
            </w:r>
            <w:proofErr w:type="spellEnd"/>
            <w:r>
              <w:t xml:space="preserve"> городского округа"</w:t>
            </w:r>
          </w:p>
        </w:tc>
      </w:tr>
      <w:tr w:rsidR="0067305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Секретарь комиссии: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Фролова</w:t>
            </w:r>
          </w:p>
          <w:p w:rsidR="0067305A" w:rsidRDefault="0067305A">
            <w:pPr>
              <w:pStyle w:val="ConsPlusNormal"/>
            </w:pPr>
            <w:r>
              <w:t>Полина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 xml:space="preserve">главный специалист отдела социально-экономического развития и оценки комплексных программ комитета экономики администрации </w:t>
            </w:r>
            <w:proofErr w:type="spellStart"/>
            <w:r>
              <w:t>Серовского</w:t>
            </w:r>
            <w:proofErr w:type="spellEnd"/>
            <w:r>
              <w:t xml:space="preserve"> городского округа</w:t>
            </w:r>
          </w:p>
        </w:tc>
      </w:tr>
      <w:tr w:rsidR="0067305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Члены комиссии: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Бронников</w:t>
            </w:r>
          </w:p>
          <w:p w:rsidR="0067305A" w:rsidRDefault="0067305A">
            <w:pPr>
              <w:pStyle w:val="ConsPlusNormal"/>
            </w:pPr>
            <w:r>
              <w:t>Виктор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 xml:space="preserve">заведующий отделом социально-экономического развития и оценки комплексных программ комитета экономики администрации </w:t>
            </w:r>
            <w:proofErr w:type="spellStart"/>
            <w:r>
              <w:t>Серовского</w:t>
            </w:r>
            <w:proofErr w:type="spellEnd"/>
            <w:r>
              <w:t xml:space="preserve"> городского округа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proofErr w:type="spellStart"/>
            <w:r>
              <w:t>Губин</w:t>
            </w:r>
            <w:proofErr w:type="spellEnd"/>
          </w:p>
          <w:p w:rsidR="0067305A" w:rsidRDefault="0067305A">
            <w:pPr>
              <w:pStyle w:val="ConsPlusNormal"/>
            </w:pPr>
            <w:r>
              <w:t>Валерий Львович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директор государственного казенного учреждения службы занятости населения Свердловской области "</w:t>
            </w:r>
            <w:proofErr w:type="spellStart"/>
            <w:r>
              <w:t>Серовский</w:t>
            </w:r>
            <w:proofErr w:type="spellEnd"/>
            <w:r>
              <w:t xml:space="preserve"> центр занятости", член Координационного совета по инвестициям и содействию развития малого и среднего предпринимательства в </w:t>
            </w:r>
            <w:proofErr w:type="spellStart"/>
            <w:r>
              <w:t>Серовском</w:t>
            </w:r>
            <w:proofErr w:type="spellEnd"/>
            <w:r>
              <w:t xml:space="preserve"> городском округе (по согласованию)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Козин</w:t>
            </w:r>
          </w:p>
          <w:p w:rsidR="0067305A" w:rsidRDefault="0067305A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 xml:space="preserve">директор </w:t>
            </w:r>
            <w:proofErr w:type="spellStart"/>
            <w:r>
              <w:t>Серовского</w:t>
            </w:r>
            <w:proofErr w:type="spellEnd"/>
            <w:r>
              <w:t xml:space="preserve"> представительства Уральской торгово-промышленной палаты, член Координационного совета по инвестициям и содействию развития малого и среднего предпринимательства в </w:t>
            </w:r>
            <w:proofErr w:type="spellStart"/>
            <w:r>
              <w:t>Серовском</w:t>
            </w:r>
            <w:proofErr w:type="spellEnd"/>
            <w:r>
              <w:t xml:space="preserve"> городском округе (по </w:t>
            </w:r>
            <w:r>
              <w:lastRenderedPageBreak/>
              <w:t>согласованию)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proofErr w:type="spellStart"/>
            <w:r>
              <w:lastRenderedPageBreak/>
              <w:t>Попенов</w:t>
            </w:r>
            <w:proofErr w:type="spellEnd"/>
          </w:p>
          <w:p w:rsidR="0067305A" w:rsidRDefault="0067305A">
            <w:pPr>
              <w:pStyle w:val="ConsPlusNormal"/>
            </w:pPr>
            <w:r>
              <w:t>Дмитрий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 xml:space="preserve">депутат Думы </w:t>
            </w:r>
            <w:proofErr w:type="spellStart"/>
            <w:r>
              <w:t>Серовского</w:t>
            </w:r>
            <w:proofErr w:type="spellEnd"/>
            <w:r>
              <w:t xml:space="preserve"> городского округа (по согласованию)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Романова</w:t>
            </w:r>
          </w:p>
          <w:p w:rsidR="0067305A" w:rsidRDefault="0067305A">
            <w:pPr>
              <w:pStyle w:val="ConsPlusNormal"/>
            </w:pPr>
            <w:r>
              <w:t>Лариса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 xml:space="preserve">председатель комитета экономики администрации </w:t>
            </w:r>
            <w:proofErr w:type="spellStart"/>
            <w:r>
              <w:t>Серовского</w:t>
            </w:r>
            <w:proofErr w:type="spellEnd"/>
            <w:r>
              <w:t xml:space="preserve"> городского округа</w:t>
            </w:r>
          </w:p>
        </w:tc>
      </w:tr>
      <w:tr w:rsidR="006730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>Кирсанова</w:t>
            </w:r>
          </w:p>
          <w:p w:rsidR="0067305A" w:rsidRDefault="0067305A">
            <w:pPr>
              <w:pStyle w:val="ConsPlusNormal"/>
            </w:pPr>
            <w:r>
              <w:t>Светлана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7305A" w:rsidRDefault="0067305A">
            <w:pPr>
              <w:pStyle w:val="ConsPlusNormal"/>
            </w:pPr>
            <w:r>
              <w:t xml:space="preserve">начальник правового управления администрации </w:t>
            </w:r>
            <w:proofErr w:type="spellStart"/>
            <w:r>
              <w:t>Серовского</w:t>
            </w:r>
            <w:proofErr w:type="spellEnd"/>
            <w:r>
              <w:t xml:space="preserve"> городского округа</w:t>
            </w:r>
          </w:p>
        </w:tc>
      </w:tr>
    </w:tbl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jc w:val="both"/>
      </w:pPr>
    </w:p>
    <w:p w:rsidR="0067305A" w:rsidRDefault="006730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1B6" w:rsidRDefault="002651B6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Default="0067305A"/>
    <w:p w:rsidR="0067305A" w:rsidRPr="0067305A" w:rsidRDefault="0067305A" w:rsidP="0067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lastRenderedPageBreak/>
        <w:t>4. В целях установления порядка проведения отбора (в случае, если субсидия предоставляется по результатам отбора) в правовом акте указываются: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>а) один из следующих способов проведения отбора: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целях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 xml:space="preserve"> достижения которых предоставляется субсидия (далее - результат предоставления субсидии);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отборе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>;</w:t>
      </w:r>
    </w:p>
    <w:p w:rsidR="0067305A" w:rsidRPr="0067305A" w:rsidRDefault="0067305A" w:rsidP="0067305A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б) дата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 xml:space="preserve"> сети "Интернет" с указанием в объявлении о проведении отбора: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67305A" w:rsidRPr="0067305A" w:rsidRDefault="0067305A" w:rsidP="0067305A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которая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 xml:space="preserve">результатов предоставления субсидии в соответствии с </w:t>
      </w:r>
      <w:hyperlink r:id="rId29" w:history="1">
        <w:r w:rsidRPr="0067305A">
          <w:rPr>
            <w:rFonts w:ascii="Liberation Serif" w:hAnsi="Liberation Serif" w:cs="Liberation Serif"/>
            <w:color w:val="0000FF"/>
            <w:sz w:val="28"/>
            <w:szCs w:val="28"/>
          </w:rPr>
          <w:t>подпунктом "м" пункта 5</w:t>
        </w:r>
      </w:hyperlink>
      <w:r w:rsidRPr="0067305A">
        <w:rPr>
          <w:rFonts w:ascii="Liberation Serif" w:hAnsi="Liberation Serif" w:cs="Liberation Serif"/>
          <w:sz w:val="28"/>
          <w:szCs w:val="28"/>
        </w:rPr>
        <w:t xml:space="preserve"> настоящего документа;</w:t>
      </w:r>
    </w:p>
    <w:p w:rsidR="0067305A" w:rsidRPr="0067305A" w:rsidRDefault="0067305A" w:rsidP="0067305A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>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 xml:space="preserve">требований к участникам отбора в соответствии с </w:t>
      </w:r>
      <w:hyperlink r:id="rId30" w:history="1">
        <w:r w:rsidRPr="0067305A">
          <w:rPr>
            <w:rFonts w:ascii="Liberation Serif" w:hAnsi="Liberation Serif" w:cs="Liberation Serif"/>
            <w:color w:val="0000FF"/>
            <w:sz w:val="28"/>
            <w:szCs w:val="28"/>
          </w:rPr>
          <w:t>подпунктами "в"</w:t>
        </w:r>
      </w:hyperlink>
      <w:r w:rsidRPr="0067305A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31" w:history="1">
        <w:r w:rsidRPr="0067305A">
          <w:rPr>
            <w:rFonts w:ascii="Liberation Serif" w:hAnsi="Liberation Serif" w:cs="Liberation Serif"/>
            <w:color w:val="0000FF"/>
            <w:sz w:val="28"/>
            <w:szCs w:val="28"/>
          </w:rPr>
          <w:t>"г"</w:t>
        </w:r>
      </w:hyperlink>
      <w:r w:rsidRPr="0067305A">
        <w:rPr>
          <w:rFonts w:ascii="Liberation Serif" w:hAnsi="Liberation Serif" w:cs="Liberation Serif"/>
          <w:sz w:val="28"/>
          <w:szCs w:val="28"/>
        </w:rPr>
        <w:t xml:space="preserve"> 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lastRenderedPageBreak/>
        <w:t xml:space="preserve"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</w:t>
      </w:r>
      <w:hyperlink r:id="rId32" w:history="1">
        <w:r w:rsidRPr="0067305A">
          <w:rPr>
            <w:rFonts w:ascii="Liberation Serif" w:hAnsi="Liberation Serif" w:cs="Liberation Serif"/>
            <w:color w:val="0000FF"/>
            <w:sz w:val="28"/>
            <w:szCs w:val="28"/>
          </w:rPr>
          <w:t>подпунктом "</w:t>
        </w:r>
        <w:proofErr w:type="spellStart"/>
        <w:r w:rsidRPr="0067305A">
          <w:rPr>
            <w:rFonts w:ascii="Liberation Serif" w:hAnsi="Liberation Serif" w:cs="Liberation Serif"/>
            <w:color w:val="0000FF"/>
            <w:sz w:val="28"/>
            <w:szCs w:val="28"/>
          </w:rPr>
          <w:t>д</w:t>
        </w:r>
        <w:proofErr w:type="spellEnd"/>
        <w:r w:rsidRPr="0067305A">
          <w:rPr>
            <w:rFonts w:ascii="Liberation Serif" w:hAnsi="Liberation Serif" w:cs="Liberation Serif"/>
            <w:color w:val="0000FF"/>
            <w:sz w:val="28"/>
            <w:szCs w:val="28"/>
          </w:rPr>
          <w:t>"</w:t>
        </w:r>
      </w:hyperlink>
      <w:r w:rsidRPr="0067305A">
        <w:rPr>
          <w:rFonts w:ascii="Liberation Serif" w:hAnsi="Liberation Serif" w:cs="Liberation Serif"/>
          <w:sz w:val="28"/>
          <w:szCs w:val="28"/>
        </w:rPr>
        <w:t xml:space="preserve"> настоящего пункта;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определяющего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 xml:space="preserve">правил рассмотрения и оценки предложений (заявок) участников отбора в соответствии с </w:t>
      </w:r>
      <w:hyperlink r:id="rId33" w:history="1">
        <w:r w:rsidRPr="0067305A">
          <w:rPr>
            <w:rFonts w:ascii="Liberation Serif" w:hAnsi="Liberation Serif" w:cs="Liberation Serif"/>
            <w:color w:val="0000FF"/>
            <w:sz w:val="28"/>
            <w:szCs w:val="28"/>
          </w:rPr>
          <w:t>подпунктом "ж"</w:t>
        </w:r>
      </w:hyperlink>
      <w:r w:rsidRPr="0067305A">
        <w:rPr>
          <w:rFonts w:ascii="Liberation Serif" w:hAnsi="Liberation Serif" w:cs="Liberation Serif"/>
          <w:sz w:val="28"/>
          <w:szCs w:val="28"/>
        </w:rPr>
        <w:t xml:space="preserve"> настоящего пункта;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>, оказанием услуг, предусмотрено заключение соглашения);</w:t>
      </w:r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уклонившимся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 xml:space="preserve"> от заключения соглашения;</w:t>
      </w:r>
    </w:p>
    <w:p w:rsidR="0067305A" w:rsidRPr="0067305A" w:rsidRDefault="0067305A" w:rsidP="0067305A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 xml:space="preserve">определения победителя отбора (с соблюдением сроков, установленных </w:t>
      </w:r>
      <w:hyperlink r:id="rId34" w:history="1">
        <w:r w:rsidRPr="0067305A">
          <w:rPr>
            <w:rFonts w:ascii="Liberation Serif" w:hAnsi="Liberation Serif" w:cs="Liberation Serif"/>
            <w:color w:val="0000FF"/>
            <w:sz w:val="28"/>
            <w:szCs w:val="28"/>
          </w:rPr>
          <w:t>пунктом 26(2)</w:t>
        </w:r>
      </w:hyperlink>
      <w:r w:rsidRPr="0067305A">
        <w:rPr>
          <w:rFonts w:ascii="Liberation Serif" w:hAnsi="Liberation Serif" w:cs="Liberation Serif"/>
          <w:sz w:val="28"/>
          <w:szCs w:val="28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 субъекта</w:t>
      </w:r>
      <w:proofErr w:type="gramEnd"/>
      <w:r w:rsidRPr="0067305A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7305A">
        <w:rPr>
          <w:rFonts w:ascii="Liberation Serif" w:hAnsi="Liberation Serif" w:cs="Liberation Serif"/>
          <w:sz w:val="28"/>
          <w:szCs w:val="28"/>
        </w:rPr>
        <w:t>Российской Федерации (муниципального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Федерации);</w:t>
      </w:r>
      <w:proofErr w:type="gramEnd"/>
    </w:p>
    <w:p w:rsidR="0067305A" w:rsidRPr="0067305A" w:rsidRDefault="0067305A" w:rsidP="006730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7305A">
        <w:rPr>
          <w:rFonts w:ascii="Liberation Serif" w:hAnsi="Liberation Serif" w:cs="Liberation Serif"/>
          <w:sz w:val="28"/>
          <w:szCs w:val="28"/>
        </w:rPr>
        <w:t>иной информации, определенной правовым актом (в случае, если такое требование предусмотрено правовым актом);</w:t>
      </w:r>
    </w:p>
    <w:p w:rsidR="0067305A" w:rsidRDefault="0067305A"/>
    <w:sectPr w:rsidR="0067305A" w:rsidSect="0067305A">
      <w:pgSz w:w="11905" w:h="16838"/>
      <w:pgMar w:top="709" w:right="565" w:bottom="426" w:left="99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05A"/>
    <w:rsid w:val="002651B6"/>
    <w:rsid w:val="0067305A"/>
    <w:rsid w:val="00BA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73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73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3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B1A2A660E05B06F54342D877A2B475AC31DC9E055F9EC7E34D38689B117A3DF365A4BC49F899CD2BE464E156F4CA1D91109451CF4B81CFs4cCI" TargetMode="External"/><Relationship Id="rId13" Type="http://schemas.openxmlformats.org/officeDocument/2006/relationships/hyperlink" Target="consultantplus://offline/ref=22B1A2A660E05B06F5435CD561CEEA7FAE328B95015B9590BE1A3E3FC4417C68B325A2E90ABC95CA2BEF30B017AA934CD45B9953D05781CF508E6E34sFc4I" TargetMode="External"/><Relationship Id="rId18" Type="http://schemas.openxmlformats.org/officeDocument/2006/relationships/hyperlink" Target="consultantplus://offline/ref=22B1A2A660E05B06F5435CD561CEEA7FAE328B9501589C92B6113E3FC4417C68B325A2E918BCCDC62BEE2EB010BFC51D92s0cCI" TargetMode="External"/><Relationship Id="rId26" Type="http://schemas.openxmlformats.org/officeDocument/2006/relationships/hyperlink" Target="consultantplus://offline/ref=22B1A2A660E05B06F54342D877A2B475AB39D090015B9EC7E34D38689B117A3DE165FCB049F986CB29F132B010sAc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B1A2A660E05B06F54342D877A2B475AC31DC9E055F9EC7E34D38689B117A3DE165FCB049F986CB29F132B010sAc3I" TargetMode="External"/><Relationship Id="rId34" Type="http://schemas.openxmlformats.org/officeDocument/2006/relationships/hyperlink" Target="consultantplus://offline/ref=5D4F246CA047A07446A16537961BAA6877C65F9B071F8FBBF560A54AADEE877973960456B1C6540B2C0F8196B713F2D91715237BmEs4I" TargetMode="External"/><Relationship Id="rId7" Type="http://schemas.openxmlformats.org/officeDocument/2006/relationships/hyperlink" Target="consultantplus://offline/ref=22B1A2A660E05B06F54342D877A2B475AC3ED298005F9EC7E34D38689B117A3DF365A4B94FF990C07FBE74E51FA1C603900C8A51D14Bs8c3I" TargetMode="External"/><Relationship Id="rId12" Type="http://schemas.openxmlformats.org/officeDocument/2006/relationships/hyperlink" Target="consultantplus://offline/ref=22B1A2A660E05B06F5435CD561CEEA7FAE328B9501589C98B6183E3FC4417C68B325A2E90ABC95CA2BEE34B017AA934CD45B9953D05781CF508E6E34sFc4I" TargetMode="External"/><Relationship Id="rId17" Type="http://schemas.openxmlformats.org/officeDocument/2006/relationships/hyperlink" Target="consultantplus://offline/ref=22B1A2A660E05B06F54342D877A2B475AC30D391045B9EC7E34D38689B117A3DE165FCB049F986CB29F132B010sAc3I" TargetMode="External"/><Relationship Id="rId25" Type="http://schemas.openxmlformats.org/officeDocument/2006/relationships/hyperlink" Target="consultantplus://offline/ref=22B1A2A660E05B06F54342D877A2B475AC3ED298005F9EC7E34D38689B117A3DE165FCB049F986CB29F132B010sAc3I" TargetMode="External"/><Relationship Id="rId33" Type="http://schemas.openxmlformats.org/officeDocument/2006/relationships/hyperlink" Target="consultantplus://offline/ref=5D4F246CA047A07446A16537961BAA6877C7509A08188FBBF560A54AADEE877973960453B4CD005C6D51D8C7F258FFDB0809237BF87C206BmEs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B1A2A660E05B06F54342D877A2B475AC31DC9E055F9EC7E34D38689B117A3DF365A4BC49F899CD2BE464E156F4CA1D91109451CF4B81CFs4cCI" TargetMode="External"/><Relationship Id="rId20" Type="http://schemas.openxmlformats.org/officeDocument/2006/relationships/hyperlink" Target="consultantplus://offline/ref=22B1A2A660E05B06F54342D877A2B475AC31DC9E055F9EC7E34D38689B117A3DF365A4BC49F899CE2BE464E156F4CA1D91109451CF4B81CFs4cCI" TargetMode="External"/><Relationship Id="rId29" Type="http://schemas.openxmlformats.org/officeDocument/2006/relationships/hyperlink" Target="consultantplus://offline/ref=5D4F246CA047A07446A16537961BAA6877C7509A08188FBBF560A54AADEE877973960453B4CD00536F51D8C7F258FFDB0809237BF87C206BmEs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9C6B4B483FA8A79C9BD0F7F616323B6E0A8399D9157237861B21AA763C440D191D42760B0E0C4E03F962C3337218B859FB60CA6845B84F53ABA70rEc2I" TargetMode="External"/><Relationship Id="rId11" Type="http://schemas.openxmlformats.org/officeDocument/2006/relationships/hyperlink" Target="consultantplus://offline/ref=22B1A2A660E05B06F5435CD561CEEA7FAE328B95015B9590BB1C3E3FC4417C68B325A2E90ABC95CA2BEE30B016AA934CD45B9953D05781CF508E6E34sFc4I" TargetMode="External"/><Relationship Id="rId24" Type="http://schemas.openxmlformats.org/officeDocument/2006/relationships/hyperlink" Target="consultantplus://offline/ref=22B1A2A660E05B06F5435CD561CEEA7FAE328B95015B9590BB1C3E3FC4417C68B325A2E90ABC95CA2BEE30B016AA934CD45B9953D05781CF508E6E34sFc4I" TargetMode="External"/><Relationship Id="rId32" Type="http://schemas.openxmlformats.org/officeDocument/2006/relationships/hyperlink" Target="consultantplus://offline/ref=5D4F246CA047A07446A16537961BAA6877C7509A08188FBBF560A54AADEE877973960453B4CD005C6B51D8C7F258FFDB0809237BF87C206BmEs5I" TargetMode="External"/><Relationship Id="rId5" Type="http://schemas.openxmlformats.org/officeDocument/2006/relationships/hyperlink" Target="consultantplus://offline/ref=8FA9C6B4B483FA8A79C9BD0F7F616323B6E0A8399D9357227C6BB21AA763C440D191D42760B0E0C4E03F962C3337218B859FB60CA6845B84F53ABA70rEc2I" TargetMode="External"/><Relationship Id="rId15" Type="http://schemas.openxmlformats.org/officeDocument/2006/relationships/hyperlink" Target="consultantplus://offline/ref=22B1A2A660E05B06F54342D877A2B475AC3ED298005F9EC7E34D38689B117A3DF365A4B94FF990C07FBE74E51FA1C603900C8A51D14Bs8c3I" TargetMode="External"/><Relationship Id="rId23" Type="http://schemas.openxmlformats.org/officeDocument/2006/relationships/hyperlink" Target="consultantplus://offline/ref=22B1A2A660E05B06F5435CD561CEEA7FAE328B95015B9590BB1C3E3FC4417C68B325A2E90ABC95CA2BEE30B016AA934CD45B9953D05781CF508E6E34sFc4I" TargetMode="External"/><Relationship Id="rId28" Type="http://schemas.openxmlformats.org/officeDocument/2006/relationships/hyperlink" Target="consultantplus://offline/ref=22B1A2A660E05B06F5435CD561CEEA7FAE328B9501599591BA103E3FC4417C68B325A2E90ABC95CA2BEF30B017AA934CD45B9953D05781CF508E6E34sFc4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2B1A2A660E05B06F5435CD561CEEA7FAE328B9501589C92B6113E3FC4417C68B325A2E918BCCDC62BEE2EB010BFC51D92s0cCI" TargetMode="External"/><Relationship Id="rId19" Type="http://schemas.openxmlformats.org/officeDocument/2006/relationships/hyperlink" Target="consultantplus://offline/ref=22B1A2A660E05B06F5435CD561CEEA7FAE328B95015B9590BE1A3E3FC4417C68B325A2E90ABC95CA2BEF30B014AA934CD45B9953D05781CF508E6E34sFc4I" TargetMode="External"/><Relationship Id="rId31" Type="http://schemas.openxmlformats.org/officeDocument/2006/relationships/hyperlink" Target="consultantplus://offline/ref=5D4F246CA047A07446A16537961BAA6877C7509A08188FBBF560A54AADEE877973960453B4CD005F6F51D8C7F258FFDB0809237BF87C206BmEs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B1A2A660E05B06F54342D877A2B475AC3AD69C015A9EC7E34D38689B117A3DE165FCB049F986CB29F132B010sAc3I" TargetMode="External"/><Relationship Id="rId14" Type="http://schemas.openxmlformats.org/officeDocument/2006/relationships/hyperlink" Target="consultantplus://offline/ref=22B1A2A660E05B06F5435CD561CEEA7FAE328B95015B9590BB1C3E3FC4417C68B325A2E90ABC95CA2BEE30B016AA934CD45B9953D05781CF508E6E34sFc4I" TargetMode="External"/><Relationship Id="rId22" Type="http://schemas.openxmlformats.org/officeDocument/2006/relationships/hyperlink" Target="consultantplus://offline/ref=22B1A2A660E05B06F5435CD561CEEA7FAE328B95015B9590BE1A3E3FC4417C68B325A2E90ABC95CA2BEF30B015AA934CD45B9953D05781CF508E6E34sFc4I" TargetMode="External"/><Relationship Id="rId27" Type="http://schemas.openxmlformats.org/officeDocument/2006/relationships/hyperlink" Target="consultantplus://offline/ref=22B1A2A660E05B06F54342D877A2B475AC31DC9E055F9EC7E34D38689B117A3DE165FCB049F986CB29F132B010sAc3I" TargetMode="External"/><Relationship Id="rId30" Type="http://schemas.openxmlformats.org/officeDocument/2006/relationships/hyperlink" Target="consultantplus://offline/ref=5D4F246CA047A07446A16537961BAA6877C7509A08188FBBF560A54AADEE877973960453B4CD005F6851D8C7F258FFDB0809237BF87C206BmEs5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7038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1</cp:revision>
  <cp:lastPrinted>2022-02-01T08:46:00Z</cp:lastPrinted>
  <dcterms:created xsi:type="dcterms:W3CDTF">2022-02-01T08:28:00Z</dcterms:created>
  <dcterms:modified xsi:type="dcterms:W3CDTF">2022-02-01T11:28:00Z</dcterms:modified>
</cp:coreProperties>
</file>