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4111"/>
        <w:gridCol w:w="1559"/>
        <w:gridCol w:w="1134"/>
        <w:gridCol w:w="1276"/>
        <w:gridCol w:w="7371"/>
      </w:tblGrid>
      <w:tr w:rsidR="007964A2" w:rsidRPr="00F07AA9" w:rsidTr="00F834B1">
        <w:trPr>
          <w:trHeight w:val="529"/>
        </w:trPr>
        <w:tc>
          <w:tcPr>
            <w:tcW w:w="160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7964A2" w:rsidRPr="00391AA8" w:rsidRDefault="007964A2" w:rsidP="00F834B1">
            <w:pPr>
              <w:spacing w:after="0" w:line="240" w:lineRule="auto"/>
              <w:jc w:val="right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Приложение</w:t>
            </w:r>
            <w:r w:rsidR="009C48B9">
              <w:rPr>
                <w:rFonts w:ascii="Liberation Serif" w:hAnsi="Liberation Serif" w:cs="Liberation Serif"/>
                <w:lang w:eastAsia="ru-RU"/>
              </w:rPr>
              <w:t xml:space="preserve"> 1</w:t>
            </w:r>
          </w:p>
        </w:tc>
      </w:tr>
      <w:tr w:rsidR="007964A2" w:rsidRPr="00F07AA9" w:rsidTr="00F834B1">
        <w:trPr>
          <w:trHeight w:val="529"/>
        </w:trPr>
        <w:tc>
          <w:tcPr>
            <w:tcW w:w="1603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7964A2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391AA8">
              <w:rPr>
                <w:rFonts w:ascii="Liberation Serif" w:hAnsi="Liberation Serif" w:cs="Liberation Serif"/>
                <w:lang w:eastAsia="ru-RU"/>
              </w:rPr>
              <w:t xml:space="preserve">Показатели </w:t>
            </w:r>
            <w:proofErr w:type="gramStart"/>
            <w:r w:rsidRPr="00391AA8">
              <w:rPr>
                <w:rFonts w:ascii="Liberation Serif" w:hAnsi="Liberation Serif" w:cs="Liberation Serif"/>
                <w:lang w:eastAsia="ru-RU"/>
              </w:rPr>
              <w:t>эффективности деятельности органов</w:t>
            </w:r>
            <w:r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Pr="00391AA8">
              <w:rPr>
                <w:rFonts w:ascii="Liberation Serif" w:hAnsi="Liberation Serif" w:cs="Liberation Serif"/>
                <w:lang w:eastAsia="ru-RU"/>
              </w:rPr>
              <w:t>местного самоуправления городского округа</w:t>
            </w:r>
            <w:proofErr w:type="gramEnd"/>
            <w:r w:rsidRPr="00391AA8">
              <w:rPr>
                <w:rFonts w:ascii="Liberation Serif" w:hAnsi="Liberation Serif" w:cs="Liberation Serif"/>
                <w:lang w:eastAsia="ru-RU"/>
              </w:rPr>
              <w:t xml:space="preserve"> </w:t>
            </w:r>
          </w:p>
          <w:p w:rsidR="007964A2" w:rsidRPr="00F834B1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u w:val="single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r w:rsidRPr="00F834B1">
              <w:rPr>
                <w:rFonts w:ascii="Liberation Serif" w:hAnsi="Liberation Serif" w:cs="Liberation Serif"/>
                <w:u w:val="single"/>
                <w:lang w:eastAsia="ru-RU"/>
              </w:rPr>
              <w:t>Серовский городской округ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391AA8">
              <w:rPr>
                <w:rFonts w:ascii="Liberation Serif" w:hAnsi="Liberation Serif" w:cs="Liberation Serif"/>
                <w:lang w:eastAsia="ru-RU"/>
              </w:rPr>
              <w:t>(официальное наименование городского округа)</w:t>
            </w:r>
          </w:p>
        </w:tc>
      </w:tr>
      <w:tr w:rsidR="007964A2" w:rsidRPr="00F07AA9" w:rsidTr="00F834B1">
        <w:trPr>
          <w:trHeight w:val="529"/>
        </w:trPr>
        <w:tc>
          <w:tcPr>
            <w:tcW w:w="582" w:type="dxa"/>
            <w:vMerge w:val="restart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  <w:r>
              <w:rPr>
                <w:rFonts w:ascii="Liberation Serif" w:hAnsi="Liberation Serif" w:cs="Liberation Serif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Liberation Serif" w:hAnsi="Liberation Serif" w:cs="Liberation Serif"/>
                <w:lang w:eastAsia="ru-RU"/>
              </w:rPr>
              <w:t>/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п</w:t>
            </w:r>
            <w:proofErr w:type="spellEnd"/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  <w:tc>
          <w:tcPr>
            <w:tcW w:w="4111" w:type="dxa"/>
            <w:vMerge w:val="restart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Наименование показателя</w:t>
            </w: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 xml:space="preserve">Единица измерения 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План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Отчет</w:t>
            </w:r>
          </w:p>
        </w:tc>
        <w:tc>
          <w:tcPr>
            <w:tcW w:w="7371" w:type="dxa"/>
            <w:vMerge w:val="restart"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Примечание</w:t>
            </w:r>
          </w:p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 </w:t>
            </w:r>
          </w:p>
        </w:tc>
      </w:tr>
      <w:tr w:rsidR="007964A2" w:rsidRPr="00F07AA9" w:rsidTr="004B5C79">
        <w:trPr>
          <w:trHeight w:val="529"/>
        </w:trPr>
        <w:tc>
          <w:tcPr>
            <w:tcW w:w="582" w:type="dxa"/>
            <w:vMerge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vMerge/>
            <w:shd w:val="clear" w:color="000000" w:fill="FFFFFF"/>
            <w:vAlign w:val="center"/>
          </w:tcPr>
          <w:p w:rsidR="007964A2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964A2" w:rsidRPr="002B5CFA" w:rsidRDefault="007964A2" w:rsidP="00A631C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202</w:t>
            </w:r>
            <w:r w:rsidR="00A631CD">
              <w:rPr>
                <w:rFonts w:ascii="Liberation Serif" w:hAnsi="Liberation Serif" w:cs="Liberation Serif"/>
                <w:lang w:eastAsia="ru-RU"/>
              </w:rPr>
              <w:t>2</w:t>
            </w:r>
            <w:r w:rsidRPr="002B5CFA">
              <w:rPr>
                <w:rFonts w:ascii="Liberation Serif" w:hAnsi="Liberation Serif" w:cs="Liberation Serif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964A2" w:rsidRPr="002B5CFA" w:rsidRDefault="007964A2" w:rsidP="00A631CD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B5CFA">
              <w:rPr>
                <w:rFonts w:ascii="Liberation Serif" w:hAnsi="Liberation Serif" w:cs="Liberation Serif"/>
                <w:lang w:eastAsia="ru-RU"/>
              </w:rPr>
              <w:t>202</w:t>
            </w:r>
            <w:r w:rsidR="00A631CD">
              <w:rPr>
                <w:rFonts w:ascii="Liberation Serif" w:hAnsi="Liberation Serif" w:cs="Liberation Serif"/>
                <w:lang w:eastAsia="ru-RU"/>
              </w:rPr>
              <w:t>2</w:t>
            </w:r>
            <w:r w:rsidRPr="002B5CFA">
              <w:rPr>
                <w:rFonts w:ascii="Liberation Serif" w:hAnsi="Liberation Serif" w:cs="Liberation Serif"/>
                <w:lang w:eastAsia="ru-RU"/>
              </w:rPr>
              <w:t xml:space="preserve"> год</w:t>
            </w:r>
          </w:p>
        </w:tc>
        <w:tc>
          <w:tcPr>
            <w:tcW w:w="7371" w:type="dxa"/>
            <w:vMerge/>
            <w:shd w:val="clear" w:color="000000" w:fill="FFFFFF"/>
            <w:vAlign w:val="center"/>
          </w:tcPr>
          <w:p w:rsidR="007964A2" w:rsidRPr="002B5CFA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</w:tbl>
    <w:p w:rsidR="007964A2" w:rsidRPr="00FC31EB" w:rsidRDefault="007964A2" w:rsidP="00FC31EB">
      <w:pPr>
        <w:spacing w:after="0" w:line="240" w:lineRule="auto"/>
        <w:rPr>
          <w:sz w:val="2"/>
          <w:szCs w:val="2"/>
        </w:rPr>
      </w:pPr>
    </w:p>
    <w:tbl>
      <w:tblPr>
        <w:tblW w:w="160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2"/>
        <w:gridCol w:w="4096"/>
        <w:gridCol w:w="15"/>
        <w:gridCol w:w="1545"/>
        <w:gridCol w:w="14"/>
        <w:gridCol w:w="1120"/>
        <w:gridCol w:w="14"/>
        <w:gridCol w:w="1261"/>
        <w:gridCol w:w="15"/>
        <w:gridCol w:w="7371"/>
      </w:tblGrid>
      <w:tr w:rsidR="007964A2" w:rsidRPr="00D912FE" w:rsidTr="00FC31EB">
        <w:trPr>
          <w:trHeight w:val="117"/>
          <w:tblHeader/>
        </w:trPr>
        <w:tc>
          <w:tcPr>
            <w:tcW w:w="582" w:type="dxa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</w:pPr>
            <w:r w:rsidRPr="00D912FE">
              <w:rPr>
                <w:rFonts w:ascii="Liberation Serif" w:hAnsi="Liberation Serif" w:cs="Liberation Serif"/>
                <w:sz w:val="18"/>
                <w:szCs w:val="18"/>
                <w:lang w:eastAsia="ru-RU"/>
              </w:rPr>
              <w:t>6</w:t>
            </w:r>
          </w:p>
        </w:tc>
      </w:tr>
      <w:tr w:rsidR="007964A2" w:rsidRPr="00D912FE" w:rsidTr="00FC31EB">
        <w:trPr>
          <w:trHeight w:val="221"/>
        </w:trPr>
        <w:tc>
          <w:tcPr>
            <w:tcW w:w="16033" w:type="dxa"/>
            <w:gridSpan w:val="10"/>
            <w:shd w:val="clear" w:color="000000" w:fill="FFFFFF"/>
            <w:vAlign w:val="center"/>
          </w:tcPr>
          <w:p w:rsidR="007964A2" w:rsidRPr="00D912FE" w:rsidRDefault="007964A2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Экономическое развитие </w:t>
            </w:r>
          </w:p>
        </w:tc>
      </w:tr>
      <w:tr w:rsidR="009E4AEE" w:rsidRPr="00D912FE" w:rsidTr="009C48B9">
        <w:trPr>
          <w:trHeight w:val="3227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единиц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189,1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224,2</w:t>
            </w:r>
          </w:p>
        </w:tc>
        <w:tc>
          <w:tcPr>
            <w:tcW w:w="7371" w:type="dxa"/>
            <w:shd w:val="clear" w:color="000000" w:fill="FFFFFF"/>
          </w:tcPr>
          <w:p w:rsidR="009E4AEE" w:rsidRPr="00A631CD" w:rsidRDefault="009E4AEE" w:rsidP="00A631C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A631CD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</w:p>
          <w:p w:rsidR="009E4AEE" w:rsidRPr="00A631CD" w:rsidRDefault="009E4AEE" w:rsidP="00A631C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A631CD">
              <w:rPr>
                <w:rFonts w:ascii="Liberation Serif" w:hAnsi="Liberation Serif" w:cs="Liberation Serif"/>
                <w:lang w:eastAsia="ru-RU"/>
              </w:rPr>
              <w:t>Показатель выполнен.</w:t>
            </w:r>
          </w:p>
          <w:p w:rsidR="009E4AEE" w:rsidRPr="00A631CD" w:rsidRDefault="009E4AEE" w:rsidP="00A631C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A631CD">
              <w:rPr>
                <w:rFonts w:ascii="Liberation Serif" w:hAnsi="Liberation Serif" w:cs="Liberation Serif"/>
                <w:lang w:eastAsia="ru-RU"/>
              </w:rPr>
              <w:t xml:space="preserve">Показатель рассчитывается один раз в пять лет на основании данных сплошного наблюдения за деятельностью субъектов малого и среднего предпринимательства. По данным </w:t>
            </w:r>
            <w:proofErr w:type="spellStart"/>
            <w:r w:rsidRPr="00A631CD">
              <w:rPr>
                <w:rFonts w:ascii="Liberation Serif" w:hAnsi="Liberation Serif" w:cs="Liberation Serif"/>
                <w:lang w:eastAsia="ru-RU"/>
              </w:rPr>
              <w:t>Свердловскстата</w:t>
            </w:r>
            <w:proofErr w:type="spellEnd"/>
            <w:r w:rsidRPr="00A631CD">
              <w:rPr>
                <w:rFonts w:ascii="Liberation Serif" w:hAnsi="Liberation Serif" w:cs="Liberation Serif"/>
                <w:lang w:eastAsia="ru-RU"/>
              </w:rPr>
              <w:t>, сплошное наблюдение за деятельностью субъектов малого и среднего предпринимательства проведено в 2020 году, по итогам число субъектов малого и среднего предпринимательства в СГО составило 1549.</w:t>
            </w:r>
          </w:p>
          <w:p w:rsidR="009E4AEE" w:rsidRPr="00A631CD" w:rsidRDefault="009E4AEE" w:rsidP="00A631C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A631CD">
              <w:rPr>
                <w:rFonts w:ascii="Liberation Serif" w:hAnsi="Liberation Serif" w:cs="Liberation Serif"/>
                <w:lang w:eastAsia="ru-RU"/>
              </w:rPr>
              <w:t>Вместе с тем, в соответствии со ст. 4.1. ФЗ от 24.07.2007 № 209-ФЗ «О развитии малого и среднего предпринимательства в Российской Федерации» сведения о юридических лицах и об индивидуальных предпринимателях, отвечающих условиям отнесения к субъектам малого и среднего предпринимательства, внесены в Единый реестр субъектов малого и среднего предпринимательства.</w:t>
            </w:r>
          </w:p>
          <w:p w:rsidR="009E4AEE" w:rsidRPr="00D912FE" w:rsidRDefault="009E4AEE" w:rsidP="00A631C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A631CD">
              <w:rPr>
                <w:rFonts w:ascii="Liberation Serif" w:hAnsi="Liberation Serif" w:cs="Liberation Serif"/>
                <w:lang w:eastAsia="ru-RU"/>
              </w:rPr>
              <w:t xml:space="preserve"> Исходя из данных этого реестра по состоянию на 01.01.2023 года численность субъектов малого и среднего предпринимательства, зарегистрированных на территории Серовского городского округа, составила 2 227 единиц, соответственно число СМСП в расчете на 10 тыс. человек населения составляет 224,2 единицы.</w:t>
            </w:r>
          </w:p>
        </w:tc>
      </w:tr>
      <w:tr w:rsidR="009E4AEE" w:rsidRPr="00D912FE" w:rsidTr="009C48B9">
        <w:trPr>
          <w:trHeight w:val="2198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15,8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20,0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Pr="00A631CD" w:rsidRDefault="009E4AEE" w:rsidP="00A631C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A631CD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  <w:r w:rsidRPr="00A631CD">
              <w:rPr>
                <w:rFonts w:ascii="Liberation Serif" w:hAnsi="Liberation Serif" w:cs="Liberation Serif"/>
                <w:lang w:eastAsia="ru-RU"/>
              </w:rPr>
              <w:br/>
              <w:t>Показатель выполнен.</w:t>
            </w:r>
            <w:r w:rsidRPr="00A631CD">
              <w:rPr>
                <w:rFonts w:ascii="Liberation Serif" w:hAnsi="Liberation Serif" w:cs="Liberation Serif"/>
                <w:lang w:eastAsia="ru-RU"/>
              </w:rPr>
              <w:br/>
              <w:t xml:space="preserve">По итогам сплошного наблюдения в 2020 году численность работников малых и средних предприятий составляет 5485 чел. (в т.ч. ООО - 3182 чел., ИП - 2303 чел.), или 20% от общей численности работников всех предприятий и организаций. С учетом </w:t>
            </w:r>
            <w:proofErr w:type="spellStart"/>
            <w:r w:rsidRPr="00A631CD">
              <w:rPr>
                <w:rFonts w:ascii="Liberation Serif" w:hAnsi="Liberation Serif" w:cs="Liberation Serif"/>
                <w:lang w:eastAsia="ru-RU"/>
              </w:rPr>
              <w:t>самозанятых</w:t>
            </w:r>
            <w:proofErr w:type="spellEnd"/>
            <w:r w:rsidRPr="00A631CD">
              <w:rPr>
                <w:rFonts w:ascii="Liberation Serif" w:hAnsi="Liberation Serif" w:cs="Liberation Serif"/>
                <w:lang w:eastAsia="ru-RU"/>
              </w:rPr>
              <w:t xml:space="preserve"> (3033 чел.) доля составляет 28,0%.</w:t>
            </w:r>
          </w:p>
        </w:tc>
      </w:tr>
      <w:tr w:rsidR="009E4AEE" w:rsidRPr="00D912FE" w:rsidTr="009C48B9">
        <w:trPr>
          <w:trHeight w:val="692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Объем инвестиций в основной капитал в расчете на 1 жителя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13 687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23 257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A631C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A631CD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 w:type="page"/>
              <w:t xml:space="preserve">Показатели рассчитаны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исходя из прогнозных значений, статистические данные отсутствуют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. Общий объем инвестиций за 2022 год - 3186,1 млн. руб. (в том числе бюджетные средства - 867,5 млн. руб.).  План на 2023-2024 годы в соответствии с Прогнозом СЭР СГО.</w:t>
            </w:r>
          </w:p>
        </w:tc>
      </w:tr>
      <w:tr w:rsidR="009E4AEE" w:rsidRPr="00D912FE" w:rsidTr="009C48B9">
        <w:trPr>
          <w:trHeight w:val="276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98,9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98,9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A631CD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A631CD">
              <w:rPr>
                <w:rFonts w:ascii="Liberation Serif" w:hAnsi="Liberation Serif" w:cs="Liberation Serif"/>
                <w:lang w:eastAsia="ru-RU"/>
              </w:rPr>
              <w:t xml:space="preserve">Рост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Показатель выполнен.</w:t>
            </w:r>
            <w:r>
              <w:rPr>
                <w:rFonts w:ascii="Liberation Serif" w:hAnsi="Liberation Serif" w:cs="Liberation Serif"/>
                <w:lang w:eastAsia="ru-RU"/>
              </w:rPr>
              <w:br/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За 2022 год в рамках работы по выявлению неучтенных земельных участков проведено 2 заседания Межведомственной комиссии по выявлению неучтенных объектов недвижимости, земельных участков и бизнеса, расположенных на территории Серовского городского округа, 16 выходов «мобильных групп» совместно с МИ ФНС № 26 по Свердловской области, 158 «дворовых обходов», выявлено 93 земельных участка, фактически используемых без оформления в установленном порядке правоустанавливающих документов.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По результатам работы комиссии 46 человек зарегистрировали права собственности на земельные участки.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В ходе осуществления муниципального земельного контроля выявлено 3 факта самовольного занятия земельных участков, виновные привлечены к административной ответственности, выданы предписания об устранении нарушения. Заключено 29 договоров аренды земельных участков и 79 договоров купли-продажи земельных участков.</w:t>
            </w:r>
          </w:p>
        </w:tc>
      </w:tr>
      <w:tr w:rsidR="009E4AEE" w:rsidRPr="00D912FE" w:rsidTr="009C48B9">
        <w:trPr>
          <w:trHeight w:val="98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Доля прибыльных сельскохозяйственных 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организаций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 в общем их числе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 Показатель выполнен.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Основными товаропроизводителями животноводческой продукции являются сельскохозяйственная организация ООО «Юбилейное» и крестьянское (фермерское) хозяйство Сафиева М.М., получена прибыль по итогам 2022 года.</w:t>
            </w:r>
          </w:p>
        </w:tc>
      </w:tr>
      <w:tr w:rsidR="009E4AEE" w:rsidRPr="00D912FE" w:rsidTr="009C48B9">
        <w:trPr>
          <w:trHeight w:val="313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36,8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36,34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показателя свидетельствуют об эффективности деятельности органов местного самоуправления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br/>
              <w:t>П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о состоянию на 01.01.2023 года протяженность автомобильных дорог общего пользования местного значения составила 619,4 км, из них не отвечающих нормативным требованиям, составляет 225,1 км.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В целях повышения уровня безопасности дорожного движения на территории СГО в 2022 выполнены работы по ремонту 7 участков автомобильных дорог: ул. Льва Толстого (от ул. Загородка до ул. Ленина) протяженность - 1250,5 м; ул. Октябрьской Революции (от ул. Каквинская до ул. Карла Маркса) протяженность - 475,1 м; ул. Черняховского (от ул. Победы до ул. Каквинская) протяженность - 670,8 м;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 xml:space="preserve">ул. Ферросплавщиков (от ул. </w:t>
            </w:r>
            <w:r>
              <w:rPr>
                <w:rFonts w:ascii="Liberation Serif" w:hAnsi="Liberation Serif" w:cs="Liberation Serif"/>
                <w:lang w:eastAsia="ru-RU"/>
              </w:rPr>
              <w:lastRenderedPageBreak/>
              <w:t xml:space="preserve">Победы до ул. Пушкинская) протяженность - 876,5 м; ул. Февральской Революции (от ул. Зеленая до ул. Красноармейская) протяженность - 1113 м; ул. Карбышева (от ул. Победы до ул. Фуфачева) протяженность - 766 м;  также проведены ремонты дорог по ул. Загородка, ул. Левый берег реки Каква, ул. Сталеваров протяженностью - 2897 м. Общая протяженность отремонтированных дорог - 8,0489 км. </w:t>
            </w:r>
            <w:proofErr w:type="gramEnd"/>
          </w:p>
        </w:tc>
      </w:tr>
      <w:tr w:rsidR="009E4AEE" w:rsidRPr="00D912FE" w:rsidTr="009C48B9">
        <w:trPr>
          <w:trHeight w:val="2393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7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0,16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0,15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Снижение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Показатель выполнен.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147 человек проживает в населенных пунктах, не имеющих регулярного автобусного и (или) железнодорожного сообщения с административным центром городского округа (деревня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Магина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 – 12 человек, деревня Еловый Падун – 28 человек, посёлок Первомайский – 89 человека, посёлок Боровой – 1 человек, посёлок Кордон – 10 человек, деревня Петрова – 7 человек).</w:t>
            </w:r>
            <w:proofErr w:type="gramEnd"/>
          </w:p>
        </w:tc>
      </w:tr>
      <w:tr w:rsidR="009E4AEE" w:rsidRPr="00D912FE" w:rsidTr="009C48B9">
        <w:trPr>
          <w:trHeight w:val="726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</w:tcPr>
          <w:p w:rsidR="009E4AEE" w:rsidRPr="00D912F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9E4AEE" w:rsidRPr="00D912FE" w:rsidTr="009C48B9">
        <w:trPr>
          <w:trHeight w:val="796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крупных и средних предприятий и некоммерческих организаций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44 626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48 927,7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</w:p>
        </w:tc>
      </w:tr>
      <w:tr w:rsidR="009E4AEE" w:rsidRPr="00D912FE" w:rsidTr="009C48B9">
        <w:trPr>
          <w:trHeight w:val="1112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муниципальных дошкольных 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26 863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28 909,1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За 2022 год заработная плата составила 48 927,7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руб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>, рост к АППГ 116,3%. План на последующие годы рассчитан исходя из роста 106,7% к АППГ.</w:t>
            </w:r>
          </w:p>
        </w:tc>
      </w:tr>
      <w:tr w:rsidR="009E4AEE" w:rsidRPr="00D912FE" w:rsidTr="009C48B9">
        <w:trPr>
          <w:trHeight w:val="1359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муниципальных общеобразовательных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36 900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41 432,5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выполнен.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Плановые показатели на 2023-2025 г.г. заработной платы работников МДОУ (сады) рассчитаны исходя из фактически достигнутых показателей за 2022 год с применением индексации 5,5% в период с 1 сентября каждого планового года. В связи с отсутствием методики по индексации средней заработной платы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пед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.р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аботников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 ДОУ на 2024-2025 г.г. показатель остается неизменен.</w:t>
            </w:r>
          </w:p>
        </w:tc>
      </w:tr>
      <w:tr w:rsidR="009E4AEE" w:rsidRPr="00D912FE" w:rsidTr="009C48B9">
        <w:trPr>
          <w:trHeight w:val="467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учителей муниципальных общеобразовательных учреждений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43 733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48 009,2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 Показатель выполнен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 xml:space="preserve"> .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br/>
              <w:t>Плановый показатель на 2023-2024г.г. заработной платы работников МОУ (школы) рассчитан исходя из фактически достигнутых показателей за 2022 год с применением индексации 5,5% в период с 1 сентября.  В связи с отсутствием методики по индексации средней заработной платы учителей МОУ (школы) на 2024-2025 г.г. показатель остается неизменен.</w:t>
            </w:r>
          </w:p>
        </w:tc>
      </w:tr>
      <w:tr w:rsidR="009E4AEE" w:rsidRPr="00D912FE" w:rsidTr="009C48B9">
        <w:trPr>
          <w:trHeight w:val="570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FF0000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муниципальных учреждений культуры и искусства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43 967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45 748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 Показатель выполнен.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 В связи с отсутствием методики по индексации средней заработной платы </w:t>
            </w:r>
            <w:r>
              <w:rPr>
                <w:rFonts w:ascii="Liberation Serif" w:hAnsi="Liberation Serif" w:cs="Liberation Serif"/>
                <w:lang w:eastAsia="ru-RU"/>
              </w:rPr>
              <w:lastRenderedPageBreak/>
              <w:t xml:space="preserve">учителей МОУ (школы) на 2023-2025 г.г. показатель остается неизменен. </w:t>
            </w:r>
          </w:p>
        </w:tc>
      </w:tr>
      <w:tr w:rsidR="009E4AEE" w:rsidRPr="00D912FE" w:rsidTr="009C48B9">
        <w:trPr>
          <w:trHeight w:val="653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color w:val="FF0000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муниципальных учреждений физической культуры и спорта</w:t>
            </w:r>
          </w:p>
        </w:tc>
        <w:tc>
          <w:tcPr>
            <w:tcW w:w="1559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тыс. руб.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29 610</w:t>
            </w:r>
          </w:p>
        </w:tc>
        <w:tc>
          <w:tcPr>
            <w:tcW w:w="1276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31 773,7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Средняя заработная плата достигла запланированного уровня на 2022 год. Норматив выполняется.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Оплата труда работников муниципальных учреждений культуры осуществляется с учетом установленного Указом Президента РФ от 07.05.2012 № 597 соотношения заработной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платы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для данной категории работников исходя из прогнозной оценки среднемесячного дохода от трудовой деятельности в Свердловской области.</w:t>
            </w:r>
          </w:p>
        </w:tc>
      </w:tr>
      <w:tr w:rsidR="009E4AEE" w:rsidRPr="00D912FE" w:rsidTr="00FC31EB">
        <w:trPr>
          <w:trHeight w:val="349"/>
        </w:trPr>
        <w:tc>
          <w:tcPr>
            <w:tcW w:w="16033" w:type="dxa"/>
            <w:gridSpan w:val="10"/>
            <w:shd w:val="clear" w:color="000000" w:fill="FFFFFF"/>
          </w:tcPr>
          <w:p w:rsidR="009E4AEE" w:rsidRPr="00D912FE" w:rsidRDefault="009E4AEE" w:rsidP="009E4AEE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Дошкольное образование</w:t>
            </w:r>
          </w:p>
        </w:tc>
      </w:tr>
      <w:tr w:rsidR="009E4AEE" w:rsidRPr="00D912FE" w:rsidTr="009C48B9">
        <w:trPr>
          <w:trHeight w:val="1549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95,0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F50A63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Показатель используется для экспертной оценки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Количество детей в возрасте от 1 до 6 лет по состоянию на 01.01.2023 составляет - 5924 чел. Списочная численность детей в возрасте от 1 до 6 лет получающих дошкольную образовательную услугу, на 01.01.2023 составляет  566</w:t>
            </w:r>
            <w:r w:rsidR="00F50A63">
              <w:rPr>
                <w:rFonts w:ascii="Liberation Serif" w:hAnsi="Liberation Serif" w:cs="Liberation Serif"/>
                <w:lang w:eastAsia="ru-RU"/>
              </w:rPr>
              <w:t>5</w:t>
            </w:r>
            <w:r>
              <w:rPr>
                <w:rFonts w:ascii="Liberation Serif" w:hAnsi="Liberation Serif" w:cs="Liberation Serif"/>
                <w:lang w:eastAsia="ru-RU"/>
              </w:rPr>
              <w:t xml:space="preserve"> человек.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С целью увеличения показателя зачисления всех детей в дошкольных образовательных организациях, вставших на учет в электронной системе, запланированы мероприятия: пропаганда дошкольного образования через СМИ, информирование родителей с целью приглашения детей в детские сады, приглашение неорганизованных детей на совместные мероприятия (праздники, спортивные соревнования для малышей).</w:t>
            </w:r>
          </w:p>
        </w:tc>
      </w:tr>
      <w:tr w:rsidR="009E4AEE" w:rsidRPr="00D912FE" w:rsidTr="009C48B9">
        <w:trPr>
          <w:trHeight w:val="1298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4,64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 Всего детей в возрасте от 1 до 6 лет 5924 чел. По состоянию на 01.01.2023 очередность детей в ДОУ составляет 275 человек.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По данным электронной системы «Е-услуги. Образование» 275 детей в возрасте 1-6 лет стоят на очереди. Им были предложены места дошкольные образовательные организации, но родители написали отказ от места в дошкольные образовательные учреждения с просьбой предоставления в 2023 году. Доступность дошкольного образования в СГО составляет 100%.  По результатам комплектования  всем желающим детям были предоставлены места в ДОУ. Прием и зачисление детей в ДОО осуществляется круглогодично.</w:t>
            </w:r>
          </w:p>
        </w:tc>
      </w:tr>
      <w:tr w:rsidR="009E4AEE" w:rsidRPr="00D912FE" w:rsidTr="009C48B9">
        <w:trPr>
          <w:trHeight w:val="1268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</w:t>
            </w: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учреждений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</w:pPr>
            <w:r>
              <w:t>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</w:pPr>
            <w:r>
              <w:t>0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В 2023 году не планируется проведение  ремонта в дошкольных образовательных учреждениях.  В 2024 году запланирован ремонт кровель в 4 учреждениях.</w:t>
            </w:r>
          </w:p>
        </w:tc>
      </w:tr>
      <w:tr w:rsidR="009E4AEE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Общее и дополнительное образование</w:t>
            </w:r>
          </w:p>
        </w:tc>
      </w:tr>
      <w:tr w:rsidR="009E4AEE" w:rsidRPr="00D912FE" w:rsidTr="009C48B9">
        <w:trPr>
          <w:trHeight w:val="127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Снижение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В 2022 году все выпускники 11-х классов муниципальных общеобразовательных организаций (366 человек) успешно прошли государственную итоговую аттестацию и получили аттестаты о среднем общем образовании. </w:t>
            </w:r>
          </w:p>
        </w:tc>
      </w:tr>
      <w:tr w:rsidR="009E4AEE" w:rsidRPr="00D912FE" w:rsidTr="009C48B9">
        <w:trPr>
          <w:trHeight w:val="1590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90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90,5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  <w:r w:rsidRPr="009E4AEE">
              <w:rPr>
                <w:rFonts w:ascii="Liberation Serif" w:hAnsi="Liberation Serif" w:cs="Liberation Serif"/>
                <w:lang w:eastAsia="ru-RU"/>
              </w:rPr>
              <w:br/>
            </w:r>
            <w:r>
              <w:rPr>
                <w:rFonts w:ascii="Liberation Serif" w:hAnsi="Liberation Serif" w:cs="Liberation Serif"/>
                <w:lang w:eastAsia="ru-RU"/>
              </w:rPr>
              <w:t xml:space="preserve">В соответствии с введением новых ФГОС НОО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и ООО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многие образовательные организации усовершенствовали материально-технические условия реализации образовательных программ. В августе 2022 года состоялось открытие образовательного центра "Точка роста" в МБОУ СОШ п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.К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расноярка.</w:t>
            </w:r>
          </w:p>
        </w:tc>
      </w:tr>
      <w:tr w:rsidR="009E4AEE" w:rsidRPr="00D912FE" w:rsidTr="009C48B9">
        <w:trPr>
          <w:trHeight w:val="2260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4,76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29,41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Снижение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Выборочный (конструктивный) капитальный ремонт предусматривает капитальный ремонт отдельных конструкций здания, в то время как другие конструкции продолжают требовать капитального ремонта, поэтому частичный капитальный ремонт не снимает потребность в проведении комплексного (полного) капитального ремонта.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В 2022 году  выполнены работы по замене покрытия кровли МАОУ СОШ №1 и капитальный ремонт МАОУ СОШ №13 (ремонт фасада,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отмостки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, спортивного зала, устройство входных групп). В 2024-25 г.г. планируется выполнить капитальный ремонт здания начальных классов МАОУ СОШ №22. </w:t>
            </w:r>
          </w:p>
        </w:tc>
      </w:tr>
      <w:tr w:rsidR="009E4AEE" w:rsidRPr="00D912FE" w:rsidTr="009C48B9">
        <w:trPr>
          <w:trHeight w:val="978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численности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77,8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70,5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  <w:r w:rsidRPr="009E4AEE">
              <w:rPr>
                <w:rFonts w:ascii="Liberation Serif" w:hAnsi="Liberation Serif" w:cs="Liberation Serif"/>
                <w:lang w:eastAsia="ru-RU"/>
              </w:rPr>
              <w:br/>
            </w:r>
            <w:r>
              <w:rPr>
                <w:rFonts w:ascii="Liberation Serif" w:hAnsi="Liberation Serif" w:cs="Liberation Serif"/>
                <w:lang w:eastAsia="ru-RU"/>
              </w:rPr>
              <w:t>Общая численность обучающихся в муниципальных общеобразовательных учреждениях подлежащих осмотру -10250 чел. Дети первой (1466 чел) и второй (5414 чел) групп здоровья составляют  6880 чел. Прошли осмотр - 9754 чел.</w:t>
            </w:r>
          </w:p>
        </w:tc>
      </w:tr>
      <w:tr w:rsidR="009E4AEE" w:rsidRPr="00D912FE" w:rsidTr="009C48B9">
        <w:trPr>
          <w:trHeight w:val="137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17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численности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25,1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28,33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Снижение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Во вторую смену обучается 2897 детей. Ежегодное увеличение доли обучающихся во вторую смену в 2022-2023 годах в связи с прогнозом ежегодного увеличения количества обучающихся на 50-70 детей и с увеличением количества классов для детей с ОВЗ, которым необходимо обучение исключительно в 1 смену. К сентябрю 2023 года планируется ввод новой школы на 1275 мест (микрорайон Восточный).</w:t>
            </w:r>
          </w:p>
        </w:tc>
      </w:tr>
      <w:tr w:rsidR="009E4AEE" w:rsidRPr="00D912FE" w:rsidTr="009C48B9">
        <w:trPr>
          <w:trHeight w:val="1127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21,3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21,31</w:t>
            </w:r>
          </w:p>
        </w:tc>
        <w:tc>
          <w:tcPr>
            <w:tcW w:w="7371" w:type="dxa"/>
            <w:shd w:val="clear" w:color="000000" w:fill="FFFFFF"/>
          </w:tcPr>
          <w:p w:rsidR="009E4AEE" w:rsidRP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Показатель используется для экспертной оценки эффективности деятельности органов местного самоуправления</w:t>
            </w:r>
            <w:r w:rsidRPr="009E4AEE">
              <w:rPr>
                <w:rFonts w:ascii="Liberation Serif" w:hAnsi="Liberation Serif" w:cs="Liberation Serif"/>
                <w:lang w:eastAsia="ru-RU"/>
              </w:rPr>
              <w:br/>
              <w:t>Расчет показателя произведен в соответствии с отчетом ОО-2 за 2022 год (срок сдачи стат</w:t>
            </w:r>
            <w:proofErr w:type="gramStart"/>
            <w:r w:rsidRPr="009E4AEE">
              <w:rPr>
                <w:rFonts w:ascii="Liberation Serif" w:hAnsi="Liberation Serif" w:cs="Liberation Serif"/>
                <w:lang w:eastAsia="ru-RU"/>
              </w:rPr>
              <w:t>.о</w:t>
            </w:r>
            <w:proofErr w:type="gramEnd"/>
            <w:r w:rsidRPr="009E4AEE">
              <w:rPr>
                <w:rFonts w:ascii="Liberation Serif" w:hAnsi="Liberation Serif" w:cs="Liberation Serif"/>
                <w:lang w:eastAsia="ru-RU"/>
              </w:rPr>
              <w:t>тчета апрель-май 2023).</w:t>
            </w:r>
          </w:p>
        </w:tc>
      </w:tr>
      <w:tr w:rsidR="009E4AEE" w:rsidRPr="00D912FE" w:rsidTr="009C48B9">
        <w:trPr>
          <w:trHeight w:val="2402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71,8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60,6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  <w:r w:rsidRPr="009E4AEE">
              <w:rPr>
                <w:rFonts w:ascii="Liberation Serif" w:hAnsi="Liberation Serif" w:cs="Liberation Serif"/>
                <w:lang w:eastAsia="ru-RU"/>
              </w:rPr>
              <w:br/>
            </w:r>
            <w:r>
              <w:rPr>
                <w:rFonts w:ascii="Liberation Serif" w:hAnsi="Liberation Serif" w:cs="Liberation Serif"/>
                <w:lang w:eastAsia="ru-RU"/>
              </w:rPr>
              <w:t>Общее количество детей с 5 до 18 лет 17595 чел., количество получающих услуги дополнительного образования — 10671 чел.</w:t>
            </w:r>
          </w:p>
        </w:tc>
      </w:tr>
      <w:tr w:rsidR="009E4AEE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Культура</w:t>
            </w:r>
          </w:p>
        </w:tc>
      </w:tr>
      <w:tr w:rsidR="009E4AEE" w:rsidRPr="00D912FE" w:rsidTr="009C48B9">
        <w:trPr>
          <w:trHeight w:val="199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Уровень фактической обеспеченности учреждениями культуры от нормативной потребности: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значения показателя свидетельствует об эффективности деятельности органов местного самоуправления.</w:t>
            </w:r>
            <w:r w:rsidRPr="009E4AEE">
              <w:rPr>
                <w:rFonts w:ascii="Liberation Serif" w:hAnsi="Liberation Serif" w:cs="Liberation Serif"/>
                <w:lang w:eastAsia="ru-RU"/>
              </w:rPr>
              <w:br/>
            </w:r>
            <w:r>
              <w:rPr>
                <w:rFonts w:ascii="Liberation Serif" w:hAnsi="Liberation Serif" w:cs="Liberation Serif"/>
                <w:lang w:eastAsia="ru-RU"/>
              </w:rPr>
              <w:t xml:space="preserve">Расчет осуществлен на основании Методических рекомендаций по развитию сети организаций культуры и обеспеченности населения услугами организаций культуры в Свердловской области, утвержденных постановлением Правительства Свердловской области от 29.12.2017 года №1039-ПП. </w:t>
            </w:r>
          </w:p>
        </w:tc>
      </w:tr>
      <w:tr w:rsidR="009E4AEE" w:rsidRPr="00D912FE" w:rsidTr="009C48B9">
        <w:trPr>
          <w:trHeight w:val="412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клубами и учреждениями клубного типа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 Норматив выполняется.</w:t>
            </w:r>
          </w:p>
        </w:tc>
      </w:tr>
      <w:tr w:rsidR="009E4AEE" w:rsidRPr="00D912FE" w:rsidTr="009C48B9">
        <w:trPr>
          <w:trHeight w:val="429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библиотеками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Норматив выполняется.</w:t>
            </w:r>
          </w:p>
        </w:tc>
      </w:tr>
      <w:tr w:rsidR="009E4AEE" w:rsidRPr="00D912FE" w:rsidTr="009C48B9">
        <w:trPr>
          <w:trHeight w:val="481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парками культуры и отдыха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Нормативная потребность в парках культуры и отдыха - 1 парк (1 парк для населения более 30 тыс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.ч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ел.). В настоящее время в Серовском ГО нет парков культуры и отдыха. В соответствии с Программой комплексного развития инфраструктуры Серовского городского округа на 2019-2030 годы строительство парка культуры и отдыха запланировано на 2025-2030 годы.</w:t>
            </w:r>
          </w:p>
        </w:tc>
      </w:tr>
      <w:tr w:rsidR="009E4AEE" w:rsidRPr="00D912FE" w:rsidTr="009C48B9">
        <w:trPr>
          <w:trHeight w:val="1511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21</w:t>
            </w:r>
          </w:p>
        </w:tc>
        <w:tc>
          <w:tcPr>
            <w:tcW w:w="4111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545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11,43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8,57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Среди помещений, находящихся в оперативном управлении муниципальных учреждений, подведомственных отраслевому органу администрации Серовского городского округа «Управление культуры и молодежной политики», в 2022 году расположено 35 объектов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культурно-досуговых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 учреждений и библиотек (МБУК «Городской Дом культуры» - 18, МБУК «Централизованная библиотечная система Серовского городского округа» - 17).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По состоянию на 01.01.2023 требуют капитального ремонта 2 здания (Дом культуры п. Андриановичи, Дворец культуры металлургов) и находится в аварийном состоянии 1 здание (Дом культуры п. Красноглинный).</w:t>
            </w:r>
          </w:p>
        </w:tc>
      </w:tr>
      <w:tr w:rsidR="009E4AEE" w:rsidRPr="00D912FE" w:rsidTr="009C48B9">
        <w:trPr>
          <w:trHeight w:val="276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22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545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28,6</w:t>
            </w:r>
          </w:p>
        </w:tc>
        <w:tc>
          <w:tcPr>
            <w:tcW w:w="1290" w:type="dxa"/>
            <w:gridSpan w:val="3"/>
            <w:shd w:val="clear" w:color="000000" w:fill="FFFFFF"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28,6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Два объекта культурного наследия требуют реставрации - ул. Агломератчиков, 13 и ул. Загородка, 3. Всего в муниципальной собственности находится семь объектов культурного наследия.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На 2022 год запланированы разработка научно-проектной документации на ремонт крыши и разработка научно-проектной документации на реставрацию и ремонт фасадов.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По состоянию на 01.01.2023 выполнены: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1) первый этап работ по разработке научно-проектной документации на ремонт крыши и на реставрацию и ремонт фасадов (предварительные работы, в т.ч.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фотофиксация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>);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2) второй этап работ (комплексные научные исследования);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3) третий этап работ (проект реставрации и приспособления объекта культурного наследия для современного использования, в т.ч. эскизный проект, проект, проведение ГИКЭ и направление НПД на согласование).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Четвертый заключительный этап работ (рабочая проектно-сметная документация, в т.ч. прохождение государственной экспертизы проверки достоверности определения сметной стоимости) будет выполнен в 2023 году.</w:t>
            </w:r>
          </w:p>
        </w:tc>
      </w:tr>
      <w:tr w:rsidR="009E4AEE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Физическая культура и спорт</w:t>
            </w:r>
          </w:p>
        </w:tc>
      </w:tr>
      <w:tr w:rsidR="009E4AEE" w:rsidRPr="00D912FE" w:rsidTr="009C48B9">
        <w:trPr>
          <w:trHeight w:val="96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23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545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51,5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53,3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значения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На территории Серовского городского округа по состоянию на 1 января 2022 года проживает 95 040 человека в возрасте от 3-х до 79-ти лет. По состоянию на 31 декабря 2022 года регулярно физической культурой и спортом занимаются 50 695 человек, что составляет 53,3 % от населения городского округа в возрасте от 3-х до 79-ти лет. По сравнению с итоговыми показателями 2021 года, число лиц, систематически </w:t>
            </w:r>
            <w:r>
              <w:rPr>
                <w:rFonts w:ascii="Liberation Serif" w:hAnsi="Liberation Serif" w:cs="Liberation Serif"/>
                <w:lang w:eastAsia="ru-RU"/>
              </w:rPr>
              <w:lastRenderedPageBreak/>
              <w:t>занимающихся физической культурой и спортом, увеличилось на 1 337 человека. Увеличению количества числа занимающихся способствовало снятие ограничительных мер, а также увеличение значимости физической культуры и спорта в Серовском городском округе.</w:t>
            </w:r>
          </w:p>
        </w:tc>
      </w:tr>
      <w:tr w:rsidR="009E4AEE" w:rsidRPr="00D912FE" w:rsidTr="009C48B9">
        <w:trPr>
          <w:trHeight w:val="1220"/>
        </w:trPr>
        <w:tc>
          <w:tcPr>
            <w:tcW w:w="582" w:type="dxa"/>
          </w:tcPr>
          <w:p w:rsidR="009E4AEE" w:rsidRPr="00D912FE" w:rsidRDefault="009E4AEE" w:rsidP="00F15CF4">
            <w:pPr>
              <w:spacing w:after="0" w:line="240" w:lineRule="auto"/>
              <w:ind w:right="-208" w:hanging="146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23(1)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Доля 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обучающихся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545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97,47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97,5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значения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 xml:space="preserve">По данным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Свердловскстата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 на 1 января 2022 года численность населения в возрасте 3-18 лет, проживающего на территории Серовского городского округа, составляет 19518 человек, общая численность детей и молодежи в возрасте 3-18 лет, проживающих в  Серовском городском округе и занимающихся в спортивных организациях, составляет 19030 человек, что составляет 97,5% от населения в возрасте 3-18 лет.</w:t>
            </w:r>
            <w:proofErr w:type="gramEnd"/>
          </w:p>
        </w:tc>
      </w:tr>
      <w:tr w:rsidR="009E4AEE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Жилищное строительство и обеспечение граждан жильем</w:t>
            </w:r>
          </w:p>
        </w:tc>
      </w:tr>
      <w:tr w:rsidR="009E4AEE" w:rsidRPr="00D912FE" w:rsidTr="009C48B9">
        <w:trPr>
          <w:trHeight w:val="208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24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Общая площадь жилых помещений, приходящаяся в среднем на одного жителя, - всего</w:t>
            </w:r>
          </w:p>
        </w:tc>
        <w:tc>
          <w:tcPr>
            <w:tcW w:w="1545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кв. метров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20,8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22,65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Рост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Жилой фонд на 01.01.2023г. – 2 250 310 кв.м. </w:t>
            </w:r>
          </w:p>
        </w:tc>
      </w:tr>
      <w:tr w:rsidR="009E4AEE" w:rsidRPr="00D912FE" w:rsidTr="009C48B9">
        <w:trPr>
          <w:trHeight w:val="48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в том числе 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введенная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 в действие за один год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0,24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0,14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Введенная в действие за 2022 год общая площадь жилых помещений, приходящаяся в среднем на 1 жителя Серовского городского округа, составляет 0,14 кв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.м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/чел. при плане 0,24 кв.м./чел. Планируемый показатель ввода жилья на 2022 год – 24784 кв.м. По данным статистики за 2022 год введено в эксплуатацию 14242 кв.м жилья, в том числе 1 многоквартирный дом (72 квартиры) площадью 2548,7 кв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.м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по адресу: Свердловская область, г. Серов, ул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.Ц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иолковского, д. 17.</w:t>
            </w:r>
          </w:p>
        </w:tc>
      </w:tr>
      <w:tr w:rsidR="009E4AEE" w:rsidRPr="00D912FE" w:rsidTr="009C48B9">
        <w:trPr>
          <w:trHeight w:val="1101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25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гектаров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1,1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4,33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Рост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По данным ООА СГО «Комитет по управлению муниципальным имуществом» за 2022 год предоставлено 27 земельных участков для строительства общей площадью 43,17 га, в том числе для жилищного строительства, индивидуального строительства и комплексного освоения в целях жилищного строительства – 2,46 га.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Предоставление земельных участков зависит от количества поданных заявлений.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            </w:t>
            </w:r>
          </w:p>
        </w:tc>
      </w:tr>
      <w:tr w:rsidR="009E4AEE" w:rsidRPr="00D912FE" w:rsidTr="009C48B9">
        <w:trPr>
          <w:trHeight w:val="187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том числе: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71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9E4AEE" w:rsidRPr="00D912FE" w:rsidTr="009C48B9">
        <w:trPr>
          <w:trHeight w:val="127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0,6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0,25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Для жилищного строительства, индивидуального строительства и комплексного освоения в целях жилищного строительства предоставлено 2,46 га. </w:t>
            </w:r>
          </w:p>
        </w:tc>
      </w:tr>
      <w:tr w:rsidR="009E4AEE" w:rsidRPr="00D912FE" w:rsidTr="009C48B9">
        <w:trPr>
          <w:trHeight w:val="1812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26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с даты принятия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</w:tc>
        <w:tc>
          <w:tcPr>
            <w:tcW w:w="1545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7371" w:type="dxa"/>
            <w:shd w:val="clear" w:color="000000" w:fill="FFFFFF"/>
          </w:tcPr>
          <w:p w:rsidR="009E4AEE" w:rsidRP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Снижение значения показателя свидетельствует об эффективности деятельности органов местного самоуправления. </w:t>
            </w:r>
          </w:p>
        </w:tc>
      </w:tr>
      <w:tr w:rsidR="009E4AEE" w:rsidRPr="00D912FE" w:rsidTr="009C48B9">
        <w:trPr>
          <w:trHeight w:val="105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объектов жилищного строительства -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в течение 3 лет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кв. метров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2700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7200</w:t>
            </w:r>
          </w:p>
        </w:tc>
        <w:tc>
          <w:tcPr>
            <w:tcW w:w="7371" w:type="dxa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Площадь земельных участков под многоквартирными домами, не построенными в течение 3 лет, составила 7200 кв.м (жилой дом по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ул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.З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аславского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, 20 – площадь земельного участка 2700 кв.м; жилой дом по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ул.Заславского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, 12 – площадь земельного участка 4500 кв.м). Строительство жилого дома по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ул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.З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аславского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, 20 не ведется на протяжении нескольких лет. В настоящее время объект незавершенного строительства переведен на консервацию.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 1 пусковой комплекс (блок Б) жилого дома по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ул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.З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>аславского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>, 12 введен в эксплуатацию в 2015 году. Строительство 2 и 3 пусковых комплексов в настоящее время не ведется. Застройщик признан банкротом. Срок действия разрешения на строительство данного объекта – август 2022 года.</w:t>
            </w:r>
          </w:p>
        </w:tc>
      </w:tr>
      <w:tr w:rsidR="009E4AEE" w:rsidRPr="00D912FE" w:rsidTr="009C48B9">
        <w:trPr>
          <w:trHeight w:val="803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иных объектов капитального строительства -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в течение 5 лет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Объекты отсутствуют.</w:t>
            </w:r>
          </w:p>
        </w:tc>
      </w:tr>
      <w:tr w:rsidR="009E4AEE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Жилищно-коммунальное хозяйство</w:t>
            </w:r>
          </w:p>
        </w:tc>
      </w:tr>
      <w:tr w:rsidR="009E4AEE" w:rsidRPr="00D912FE" w:rsidTr="009C48B9">
        <w:trPr>
          <w:trHeight w:val="183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27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2B5CFA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545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83,5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Рост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В 2022 году на территории СГО всего насчитывалось 2176 МКД. Собственниками помещений выбран и реализован один из способов управления: товарищества собственников жилья - 221,  управление управляющей компанией — 1261, непосредственное управление — 334.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В соответствии с формой № 22-ЖКХ показатель составляет 100%, рассчитан с учетом МКД, управление которыми осуществляется управляющими организациями, выбранными по результатам открытых конкурсов по отбору управляющих организаций для управления МКД, проведенных ОМС (360 ед.). МКД, в отношении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которых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способ управления не выбран и не определён ОМС на конкурсе, отсутствуют. </w:t>
            </w:r>
          </w:p>
        </w:tc>
      </w:tr>
      <w:tr w:rsidR="009E4AEE" w:rsidRPr="00D912FE" w:rsidTr="009C48B9">
        <w:trPr>
          <w:trHeight w:val="4769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28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Доля организаций коммунального комплекса, осуществляющих производство товаров, оказание услуг по </w:t>
            </w:r>
            <w:proofErr w:type="spellStart"/>
            <w:r w:rsidRPr="00D912FE">
              <w:rPr>
                <w:rFonts w:ascii="Liberation Serif" w:hAnsi="Liberation Serif" w:cs="Liberation Serif"/>
                <w:lang w:eastAsia="ru-RU"/>
              </w:rPr>
              <w:t>водо</w:t>
            </w:r>
            <w:proofErr w:type="spellEnd"/>
            <w:r w:rsidRPr="00D912FE">
              <w:rPr>
                <w:rFonts w:ascii="Liberation Serif" w:hAnsi="Liberation Serif" w:cs="Liberation Serif"/>
                <w:lang w:eastAsia="ru-RU"/>
              </w:rPr>
              <w:t>-, тепл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о-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, </w:t>
            </w:r>
            <w:proofErr w:type="spellStart"/>
            <w:r w:rsidRPr="00D912FE">
              <w:rPr>
                <w:rFonts w:ascii="Liberation Serif" w:hAnsi="Liberation Serif" w:cs="Liberation Serif"/>
                <w:lang w:eastAsia="ru-RU"/>
              </w:rPr>
              <w:t>газо</w:t>
            </w:r>
            <w:proofErr w:type="spell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осуществляющих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 свою деятельность на территории городского округа (муниципального района)</w:t>
            </w:r>
          </w:p>
        </w:tc>
        <w:tc>
          <w:tcPr>
            <w:tcW w:w="1545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83,33</w:t>
            </w:r>
          </w:p>
        </w:tc>
        <w:tc>
          <w:tcPr>
            <w:tcW w:w="1290" w:type="dxa"/>
            <w:gridSpan w:val="3"/>
            <w:shd w:val="clear" w:color="000000" w:fill="FFFFFF"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83,33</w:t>
            </w:r>
          </w:p>
        </w:tc>
        <w:tc>
          <w:tcPr>
            <w:tcW w:w="7371" w:type="dxa"/>
            <w:shd w:val="clear" w:color="000000" w:fill="FFFFFF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Рост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Из 12 организаций коммунального комплекса, осуществляющих в 2022 году производство товаров, оказание услуг по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водо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-, тепло-,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газо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>-, электроснабжению, водоотведению, очистке сточных вод, утилизации (захоронению) твердых бытовых отходов на территории Серовского городского округа две являются муниципальными - МП "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Серовавтодор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>", МУП с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.А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ндриановичи. </w:t>
            </w:r>
          </w:p>
        </w:tc>
      </w:tr>
      <w:tr w:rsidR="009E4AEE" w:rsidRPr="00D912FE" w:rsidTr="009C48B9">
        <w:trPr>
          <w:trHeight w:val="940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29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81,6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87,7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Рост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Согласно сведениям </w:t>
            </w:r>
            <w:proofErr w:type="spellStart"/>
            <w:r>
              <w:rPr>
                <w:rFonts w:ascii="Liberation Serif" w:hAnsi="Liberation Serif" w:cs="Liberation Serif"/>
                <w:lang w:eastAsia="ru-RU"/>
              </w:rPr>
              <w:t>Росреестра</w:t>
            </w:r>
            <w:proofErr w:type="spellEnd"/>
            <w:r>
              <w:rPr>
                <w:rFonts w:ascii="Liberation Serif" w:hAnsi="Liberation Serif" w:cs="Liberation Serif"/>
                <w:lang w:eastAsia="ru-RU"/>
              </w:rPr>
              <w:t xml:space="preserve"> от 21.12.2021 № 3.8-28411-105/21 количество земельных участков с назначением «многоквартирный дом», сведения о которых внесены в ЕГРН по состоянию на 21.12.2021 составляет 928, количество многоквартирных домов составляет 1059.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Следовательно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доля многоквартирных домов, расположенных на земельных участках, в отношении которых осуществлен государственный кадастровый учет, составила на 21.12.2021 87,6%. В связи с вводом в эксплуатацию в 2021-2022 годах двух многоквартирных домов соотношение составило 1061 многоквартирный дом на 930 земельных участках. Доля многоквартирных домов, расположенных на земельных участках, в отношении которых осуществлен государственный кадастровый учет, составила 87,7 %. </w:t>
            </w:r>
          </w:p>
        </w:tc>
      </w:tr>
      <w:tr w:rsidR="009E4AEE" w:rsidRPr="00D912FE" w:rsidTr="009C48B9">
        <w:trPr>
          <w:trHeight w:val="146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30</w:t>
            </w:r>
          </w:p>
        </w:tc>
        <w:tc>
          <w:tcPr>
            <w:tcW w:w="4111" w:type="dxa"/>
            <w:gridSpan w:val="2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545" w:type="dxa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90" w:type="dxa"/>
            <w:gridSpan w:val="3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4,56</w:t>
            </w:r>
          </w:p>
        </w:tc>
        <w:tc>
          <w:tcPr>
            <w:tcW w:w="7371" w:type="dxa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Рост значений показателя свидетельствует об эффективности деятельности органов местного самоуправления.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По состоянию на 01.01.2022 в списке очередности граждан, принятых на учет в качестве нуждающихся в предоставляемых по договорам социального найма жилых помещениях, состояло 1690 семей (5070 человек). За 2022 год 77 нуждающихся семей (203 человека) улучшили свои жилищные условия, в том числе: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1 молодая семья (3 человека) получила и реализовала социальную выплату </w:t>
            </w:r>
            <w:r>
              <w:rPr>
                <w:rFonts w:ascii="Liberation Serif" w:hAnsi="Liberation Serif" w:cs="Liberation Serif"/>
                <w:lang w:eastAsia="ru-RU"/>
              </w:rPr>
              <w:lastRenderedPageBreak/>
              <w:t>на приобретение жилья;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1 семья (1 человек), из категории ветеранов, инвалидов и семей, имеющих детей-инвалидов, получила единовременную денежную выплату на приобретение жилья через ГКУ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СО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«Фонд жилищного строительства»;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1 семья (1 человек) получила жилое помещение по решению суда о предоставлении вне очереди благоустроенного жилого помещения;</w:t>
            </w:r>
            <w:r>
              <w:rPr>
                <w:rFonts w:ascii="Liberation Serif" w:hAnsi="Liberation Serif" w:cs="Liberation Serif"/>
                <w:lang w:eastAsia="ru-RU"/>
              </w:rPr>
              <w:br/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11 семьям (21 человек) предоставлены жилые помещения взамен признанных непригодным для проживания в рамка реализации государственной программы, утвержденной постановлением Правительства Свердловской области от 24.10.2013 № 1296-ПП «Об утверждении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года»;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br/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63 семьям (177 человек) предоставлены жилые помещения взамен признанных непригодным для проживания в рамка реализации региональной адресная программа «Переселение граждан на территории Свердловской области из аварийного жилищного фонда в 2019-2025 годах», утвержденная постановлением Правительства Свердловской области от 01.04.2019 № 208-ПП.</w:t>
            </w:r>
            <w:proofErr w:type="gramEnd"/>
          </w:p>
        </w:tc>
      </w:tr>
      <w:tr w:rsidR="009E4AEE" w:rsidRPr="00D912FE" w:rsidTr="004B5C79">
        <w:trPr>
          <w:trHeight w:val="300"/>
        </w:trPr>
        <w:tc>
          <w:tcPr>
            <w:tcW w:w="16033" w:type="dxa"/>
            <w:gridSpan w:val="10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Организация муниципального управления</w:t>
            </w:r>
          </w:p>
        </w:tc>
      </w:tr>
      <w:tr w:rsidR="009E4AEE" w:rsidRPr="00D912FE" w:rsidTr="009C48B9">
        <w:trPr>
          <w:trHeight w:val="492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31</w:t>
            </w:r>
          </w:p>
        </w:tc>
        <w:tc>
          <w:tcPr>
            <w:tcW w:w="4096" w:type="dxa"/>
            <w:shd w:val="clear" w:color="000000" w:fill="FFFFFF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24,38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24,43</w:t>
            </w:r>
          </w:p>
        </w:tc>
        <w:tc>
          <w:tcPr>
            <w:tcW w:w="7386" w:type="dxa"/>
            <w:gridSpan w:val="2"/>
            <w:shd w:val="clear" w:color="000000" w:fill="FFFFFF"/>
            <w:vAlign w:val="center"/>
          </w:tcPr>
          <w:p w:rsidR="009E4AEE" w:rsidRDefault="009E4AEE" w:rsidP="009E4AEE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значений показателя свидетельствует об эффективности деятельности органов местного самоуправления.</w:t>
            </w:r>
            <w:r w:rsidRPr="009E4AEE">
              <w:rPr>
                <w:rFonts w:ascii="Liberation Serif" w:hAnsi="Liberation Serif" w:cs="Liberation Serif"/>
                <w:lang w:eastAsia="ru-RU"/>
              </w:rPr>
              <w:br/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 итогам исполнения бюджета Серовского городского округа за 2022 год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составила 24,43%. На снижение доли налоговых и неналоговых доходов местного бюджета (за исключением поступлений налоговых доходов по дополнительным нормативам отчислений)  к показателю 2021 года оказало увеличение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налоговых и неналоговых доходов бюджета (за исключением поступлений налоговых доходов по дополнительным нормативам отчислений) всего на 3,4%, при росте собственных доходов бюджета муниципального образования (без учета субвенций) на 24,3% (из бюджета Свердловской области выделено межбюджетных трансфертов на 18,1% больше в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2022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чем в 2021г).</w:t>
            </w:r>
          </w:p>
        </w:tc>
      </w:tr>
      <w:tr w:rsidR="009E4AEE" w:rsidRPr="00D912FE" w:rsidTr="009C48B9">
        <w:trPr>
          <w:trHeight w:val="163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32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Организации муниципальной формы собственности, находящиеся в стадии банкротства (конкурсное управление) в городском округе в 2022 году отсутствуют. </w:t>
            </w:r>
          </w:p>
        </w:tc>
      </w:tr>
      <w:tr w:rsidR="009E4AEE" w:rsidRPr="00D912FE" w:rsidTr="009C48B9">
        <w:trPr>
          <w:trHeight w:val="1804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33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тыс. 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Показатель выполнен.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В 2022 году не введенные в установленные сроки  объекты отсутствуют.</w:t>
            </w:r>
          </w:p>
        </w:tc>
      </w:tr>
      <w:tr w:rsidR="009E4AEE" w:rsidRPr="00D912FE" w:rsidTr="009C48B9">
        <w:trPr>
          <w:trHeight w:val="560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34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процентов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Просроченной кредиторской задолженности по оплате труда (включая начисления) в 2022 году у муниципальных бюджетных учреждений не было. </w:t>
            </w:r>
          </w:p>
        </w:tc>
      </w:tr>
      <w:tr w:rsidR="009E4AEE" w:rsidRPr="00D912FE" w:rsidTr="009C48B9">
        <w:trPr>
          <w:trHeight w:val="138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35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рублей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1535,2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1541,2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Показатель используется для экспертной оценки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 xml:space="preserve">Утвержденные расходы на оплату труда, начисления и прочие выплаты работникам органов местного самоуправления СГО с учетом переданных полномочий в 2022 году 155394225,83 руб., Фактические расходы составили 153652556,80 руб.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Решением Думы СГО от 13.12.2022 № 20 «О бюджете Серовского городского округа на 2023 год и плановый период 2024 и 2025 годов»  утверждены расходы на оплату труда, начисления и прочие выплаты работникам органов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местного самоуправления на 2023 год в сумме 167075770,00 руб., на 2024 год в сумме 174314707,00 руб., на 2025 год в сумме 180210046,00 рублей. </w:t>
            </w:r>
          </w:p>
        </w:tc>
      </w:tr>
      <w:tr w:rsidR="009E4AEE" w:rsidRPr="00D912FE" w:rsidTr="009C48B9">
        <w:trPr>
          <w:trHeight w:val="1283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36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да/нет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Показатель используется для экспертной оценки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Генеральный план  Серовского городского округа утвержден решением Думы Серовского городского округа от 29.12.2012г. № 107.</w:t>
            </w:r>
          </w:p>
        </w:tc>
      </w:tr>
      <w:tr w:rsidR="009E4AEE" w:rsidRPr="00D912FE" w:rsidTr="009C48B9">
        <w:trPr>
          <w:trHeight w:val="418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37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Удовлетворенность населения деятельностью органов местного самоуправления городского округа </w:t>
            </w: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(муниципального района)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lastRenderedPageBreak/>
              <w:t>процентов от числа опрошенных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P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значений показателей свидетельствует об эффективности деятельности органов местного самоуправления.</w:t>
            </w:r>
          </w:p>
        </w:tc>
      </w:tr>
      <w:tr w:rsidR="009E4AEE" w:rsidRPr="00D912FE" w:rsidTr="009C48B9">
        <w:trPr>
          <w:trHeight w:val="1092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Удовлетворенность населения организацией транспортного обслуживания в муниципальном образовании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</w:pPr>
            <w:proofErr w:type="spellStart"/>
            <w:r w:rsidRPr="00DD2184">
              <w:rPr>
                <w:rFonts w:ascii="Liberation Serif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90,7</w:t>
            </w:r>
          </w:p>
        </w:tc>
        <w:tc>
          <w:tcPr>
            <w:tcW w:w="7386" w:type="dxa"/>
            <w:gridSpan w:val="2"/>
            <w:vMerge w:val="restart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Результаты проведения оценки населением эффективности деятельности руководителей органов местного самоуправления по итогам социологического опроса населения на портале «Открытое Правительство Свердловской области» 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>за  2022 год представлены в соответствии с письмом Министерства экономики и территориального развития Свердловской области от 01.02.2023 № 09-01-81/693.</w:t>
            </w:r>
          </w:p>
        </w:tc>
      </w:tr>
      <w:tr w:rsidR="009E4AEE" w:rsidRPr="00D912FE" w:rsidTr="009C48B9">
        <w:trPr>
          <w:trHeight w:val="889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Удовлетворенность населения качеством автомобильных дорог в муниципальном образовании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</w:pPr>
            <w:proofErr w:type="spellStart"/>
            <w:r w:rsidRPr="00DD2184">
              <w:rPr>
                <w:rFonts w:ascii="Liberation Serif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67,6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9E4AEE" w:rsidRPr="00D912F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9E4AEE" w:rsidRPr="00D912FE" w:rsidTr="009C48B9">
        <w:trPr>
          <w:trHeight w:val="1440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Удовлетворенность населения жилищно-коммунальными услугами, уровнем организации теплоснабжения (снабжения населения топливом), водоснабжения (водоотведения), электроснабжения, газоснабжения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</w:pPr>
            <w:proofErr w:type="spellStart"/>
            <w:r w:rsidRPr="00DD2184">
              <w:rPr>
                <w:rFonts w:ascii="Liberation Serif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80,52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9E4AEE" w:rsidRPr="00D912F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9E4AEE" w:rsidRPr="00D912FE" w:rsidTr="009C48B9">
        <w:trPr>
          <w:trHeight w:val="48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38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тыс. человек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101,8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99,7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Положительная динамика показателя свидетельствует об эффективности деятельности органов местного самоуправления.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Наблюдается тенденция снижения численности населения. Аналогичная демографическая ситуация отмечается в целом по Свердловской области. </w:t>
            </w:r>
          </w:p>
        </w:tc>
      </w:tr>
      <w:tr w:rsidR="009E4AEE" w:rsidRPr="00D912FE" w:rsidTr="009C48B9">
        <w:trPr>
          <w:trHeight w:val="119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39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показателей свидетельствует об эффективности деятельности органов местного самоуправления.</w:t>
            </w:r>
          </w:p>
        </w:tc>
      </w:tr>
      <w:tr w:rsidR="009E4AEE" w:rsidRPr="00D912FE" w:rsidTr="009C48B9">
        <w:trPr>
          <w:trHeight w:val="439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электрическая энергия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кВт·ч на 1 </w:t>
            </w:r>
            <w:proofErr w:type="spellStart"/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прожива-ющего</w:t>
            </w:r>
            <w:proofErr w:type="spellEnd"/>
            <w:proofErr w:type="gramEnd"/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841,2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838,3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выполнен от плана; снижен по сравнению с 2021 годом.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886,3.</w:t>
            </w:r>
          </w:p>
        </w:tc>
      </w:tr>
      <w:tr w:rsidR="009E4AEE" w:rsidRPr="00D912FE" w:rsidTr="009C48B9">
        <w:trPr>
          <w:trHeight w:val="691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тепловая энергия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Гкал на 1 кв. метр общей площади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0,2700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0,2460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выполнен от плана; снижен к факту 2021 года на 1,6%.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0,265.</w:t>
            </w:r>
          </w:p>
        </w:tc>
      </w:tr>
      <w:tr w:rsidR="009E4AEE" w:rsidRPr="00D912FE" w:rsidTr="009C48B9">
        <w:trPr>
          <w:trHeight w:val="644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горячая вода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куб. метров 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 xml:space="preserve">на 1 </w:t>
            </w:r>
            <w:proofErr w:type="spellStart"/>
            <w:r w:rsidRPr="00D912FE">
              <w:rPr>
                <w:rFonts w:ascii="Liberation Serif" w:hAnsi="Liberation Serif" w:cs="Liberation Serif"/>
                <w:lang w:eastAsia="ru-RU"/>
              </w:rPr>
              <w:t>прожив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а</w:t>
            </w:r>
            <w:proofErr w:type="spellEnd"/>
            <w:r w:rsidRPr="00D912FE">
              <w:rPr>
                <w:rFonts w:ascii="Liberation Serif" w:hAnsi="Liberation Serif" w:cs="Liberation Serif"/>
                <w:lang w:eastAsia="ru-RU"/>
              </w:rPr>
              <w:t>-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 </w:t>
            </w:r>
            <w:proofErr w:type="spellStart"/>
            <w:r w:rsidRPr="00D912FE">
              <w:rPr>
                <w:rFonts w:ascii="Liberation Serif" w:hAnsi="Liberation Serif" w:cs="Liberation Serif"/>
                <w:lang w:eastAsia="ru-RU"/>
              </w:rPr>
              <w:t>ющего</w:t>
            </w:r>
            <w:proofErr w:type="spellEnd"/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27,70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27,13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выполнен от плана и улучшен в сравнении с 2021 годом.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21,43.</w:t>
            </w:r>
          </w:p>
        </w:tc>
      </w:tr>
      <w:tr w:rsidR="009E4AEE" w:rsidRPr="00D912FE" w:rsidTr="009C48B9">
        <w:trPr>
          <w:trHeight w:val="213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холодная вода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33,60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33,07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выполнен от плана и улучшен по сравнению с 2021 годом.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38,68.</w:t>
            </w:r>
          </w:p>
        </w:tc>
      </w:tr>
      <w:tr w:rsidR="009E4AEE" w:rsidRPr="00D912FE" w:rsidTr="009C48B9">
        <w:trPr>
          <w:trHeight w:val="27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природный газ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122,4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118,7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улучшен к плану и факту за 2021 год.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115,0.</w:t>
            </w:r>
          </w:p>
        </w:tc>
      </w:tr>
      <w:tr w:rsidR="009E4AEE" w:rsidRPr="00D912FE" w:rsidTr="009C48B9">
        <w:trPr>
          <w:trHeight w:val="945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40</w:t>
            </w: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Удельная величина потребления энергетических ресурсов муниципальными бюджетными учреждениями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P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Снижение значений показателей свидетельствует об эффективности деятельности органов местного самоуправления.</w:t>
            </w:r>
          </w:p>
        </w:tc>
      </w:tr>
      <w:tr w:rsidR="009E4AEE" w:rsidRPr="00D912FE" w:rsidTr="009C48B9">
        <w:trPr>
          <w:trHeight w:val="701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электрическая энергия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кВт·</w:t>
            </w: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ч</w:t>
            </w:r>
            <w:proofErr w:type="gramEnd"/>
            <w:r w:rsidRPr="00D912FE">
              <w:rPr>
                <w:rFonts w:ascii="Liberation Serif" w:hAnsi="Liberation Serif" w:cs="Liberation Serif"/>
                <w:lang w:eastAsia="ru-RU"/>
              </w:rPr>
              <w:t xml:space="preserve"> на 1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человека населения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71,3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70,3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выполнен от плана; снижен к факту 2021 года на 1,0%.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137,1.</w:t>
            </w:r>
          </w:p>
        </w:tc>
      </w:tr>
      <w:tr w:rsidR="009E4AEE" w:rsidRPr="00D912FE" w:rsidTr="009C48B9">
        <w:trPr>
          <w:trHeight w:val="912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тепловая энергия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Гкал на 1 кв. метр общей площади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0,21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0,21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на уровне плана и отчета за 2021 год.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0,27.</w:t>
            </w:r>
          </w:p>
        </w:tc>
      </w:tr>
      <w:tr w:rsidR="009E4AEE" w:rsidRPr="00D912FE" w:rsidTr="009C48B9">
        <w:trPr>
          <w:trHeight w:val="770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горячая вода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 xml:space="preserve">куб. метров </w:t>
            </w:r>
            <w:r w:rsidRPr="00D912FE">
              <w:rPr>
                <w:rFonts w:ascii="Liberation Serif" w:hAnsi="Liberation Serif" w:cs="Liberation Serif"/>
                <w:lang w:eastAsia="ru-RU"/>
              </w:rPr>
              <w:br/>
              <w:t>на 1 человека населения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1,18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1,16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выполнен от плана и снижен от уровня 2021 года.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0,96.</w:t>
            </w:r>
          </w:p>
        </w:tc>
      </w:tr>
      <w:tr w:rsidR="009E4AEE" w:rsidRPr="00D912FE" w:rsidTr="009C48B9">
        <w:trPr>
          <w:trHeight w:val="409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холодная вода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1,88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1,86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Показатель выполнен от плана, снижен по сравнению с 2021 годом.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2,94. </w:t>
            </w:r>
          </w:p>
        </w:tc>
      </w:tr>
      <w:tr w:rsidR="009E4AEE" w:rsidRPr="00D912FE" w:rsidTr="009C48B9">
        <w:trPr>
          <w:trHeight w:val="458"/>
        </w:trPr>
        <w:tc>
          <w:tcPr>
            <w:tcW w:w="582" w:type="dxa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природный газ</w:t>
            </w:r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-"-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7386" w:type="dxa"/>
            <w:gridSpan w:val="2"/>
            <w:shd w:val="clear" w:color="000000" w:fill="FFFFFF"/>
          </w:tcPr>
          <w:p w:rsid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Природный газ в муниципальных бюджетных учреждениях СГО отсутствует.</w:t>
            </w:r>
            <w:r>
              <w:rPr>
                <w:rFonts w:ascii="Liberation Serif" w:hAnsi="Liberation Serif" w:cs="Liberation Serif"/>
                <w:lang w:eastAsia="ru-RU"/>
              </w:rPr>
              <w:br/>
              <w:t xml:space="preserve">Средний показатель </w:t>
            </w:r>
            <w:proofErr w:type="gramStart"/>
            <w:r>
              <w:rPr>
                <w:rFonts w:ascii="Liberation Serif" w:hAnsi="Liberation Serif" w:cs="Liberation Serif"/>
                <w:lang w:eastAsia="ru-RU"/>
              </w:rPr>
              <w:t>по</w:t>
            </w:r>
            <w:proofErr w:type="gramEnd"/>
            <w:r>
              <w:rPr>
                <w:rFonts w:ascii="Liberation Serif" w:hAnsi="Liberation Serif" w:cs="Liberation Serif"/>
                <w:lang w:eastAsia="ru-RU"/>
              </w:rPr>
              <w:t xml:space="preserve"> СО 5,75.</w:t>
            </w:r>
          </w:p>
        </w:tc>
      </w:tr>
      <w:tr w:rsidR="009E4AEE" w:rsidRPr="00D912FE" w:rsidTr="009C48B9">
        <w:trPr>
          <w:trHeight w:val="3240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41</w:t>
            </w:r>
          </w:p>
        </w:tc>
        <w:tc>
          <w:tcPr>
            <w:tcW w:w="4096" w:type="dxa"/>
            <w:shd w:val="clear" w:color="000000" w:fill="FFFFFF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proofErr w:type="gramStart"/>
            <w:r w:rsidRPr="00D912FE">
              <w:rPr>
                <w:rFonts w:ascii="Liberation Serif" w:hAnsi="Liberation Serif" w:cs="Liberation Serif"/>
                <w:lang w:eastAsia="ru-RU"/>
              </w:rPr>
      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наличии):</w:t>
            </w:r>
            <w:proofErr w:type="gramEnd"/>
          </w:p>
        </w:tc>
        <w:tc>
          <w:tcPr>
            <w:tcW w:w="1560" w:type="dxa"/>
            <w:gridSpan w:val="2"/>
            <w:shd w:val="clear" w:color="000000" w:fill="FFFFFF"/>
            <w:noWrap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386" w:type="dxa"/>
            <w:gridSpan w:val="2"/>
            <w:vMerge w:val="restart"/>
            <w:shd w:val="clear" w:color="000000" w:fill="FFFFFF"/>
          </w:tcPr>
          <w:p w:rsidR="009E4AEE" w:rsidRP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Рост значения отраслевого показателя свидетельствует об эффективности деятельности органов местного самоуправления в соответствующей сфере.</w:t>
            </w:r>
          </w:p>
          <w:p w:rsidR="009E4AEE" w:rsidRP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Показатели независимой </w:t>
            </w:r>
            <w:proofErr w:type="gramStart"/>
            <w:r w:rsidRPr="009E4AEE">
              <w:rPr>
                <w:rFonts w:ascii="Liberation Serif" w:hAnsi="Liberation Serif" w:cs="Liberation Serif"/>
                <w:lang w:eastAsia="ru-RU"/>
              </w:rPr>
              <w:t>оценки качества условий оказания услуг</w:t>
            </w:r>
            <w:proofErr w:type="gramEnd"/>
            <w:r w:rsidRPr="009E4AEE">
              <w:rPr>
                <w:rFonts w:ascii="Liberation Serif" w:hAnsi="Liberation Serif" w:cs="Liberation Serif"/>
                <w:lang w:eastAsia="ru-RU"/>
              </w:rPr>
              <w:t xml:space="preserve"> в сфере культуры и образования выше уровня прошлого года, в сфере социального обслуживания показатель не представлен. </w:t>
            </w:r>
          </w:p>
          <w:p w:rsidR="009E4AEE" w:rsidRP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 xml:space="preserve">Информация сформирована по итогам независимой оценки качества размещенной на официальном сайте </w:t>
            </w:r>
            <w:proofErr w:type="spellStart"/>
            <w:r w:rsidRPr="009E4AEE">
              <w:rPr>
                <w:rFonts w:ascii="Liberation Serif" w:hAnsi="Liberation Serif" w:cs="Liberation Serif"/>
                <w:lang w:eastAsia="ru-RU"/>
              </w:rPr>
              <w:t>www.bus.gov.ru</w:t>
            </w:r>
            <w:proofErr w:type="spellEnd"/>
            <w:r w:rsidRPr="009E4AEE">
              <w:rPr>
                <w:rFonts w:ascii="Liberation Serif" w:hAnsi="Liberation Serif" w:cs="Liberation Serif"/>
                <w:lang w:eastAsia="ru-RU"/>
              </w:rPr>
              <w:t>.</w:t>
            </w:r>
          </w:p>
          <w:p w:rsidR="009E4AEE" w:rsidRPr="009E4AEE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Оценка СГ</w:t>
            </w:r>
            <w:proofErr w:type="gramStart"/>
            <w:r w:rsidRPr="009E4AEE">
              <w:rPr>
                <w:rFonts w:ascii="Liberation Serif" w:hAnsi="Liberation Serif" w:cs="Liberation Serif"/>
                <w:lang w:eastAsia="ru-RU"/>
              </w:rPr>
              <w:t>O</w:t>
            </w:r>
            <w:proofErr w:type="gramEnd"/>
            <w:r w:rsidRPr="009E4AEE">
              <w:rPr>
                <w:rFonts w:ascii="Liberation Serif" w:hAnsi="Liberation Serif" w:cs="Liberation Serif"/>
                <w:lang w:eastAsia="ru-RU"/>
              </w:rPr>
              <w:t xml:space="preserve"> в целом 93,21%.</w:t>
            </w:r>
          </w:p>
          <w:p w:rsidR="009E4AEE" w:rsidRPr="00E319BD" w:rsidRDefault="009E4AEE" w:rsidP="009C48B9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9E4AEE">
              <w:rPr>
                <w:rFonts w:ascii="Liberation Serif" w:hAnsi="Liberation Serif" w:cs="Liberation Serif"/>
                <w:lang w:eastAsia="ru-RU"/>
              </w:rPr>
              <w:t>Оценка Свердловской области в целом - 91,3%.</w:t>
            </w:r>
          </w:p>
        </w:tc>
      </w:tr>
      <w:tr w:rsidR="009E4AEE" w:rsidRPr="00D912FE" w:rsidTr="009C48B9">
        <w:trPr>
          <w:trHeight w:val="300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сфере культуры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proofErr w:type="spellStart"/>
            <w:r w:rsidRPr="00D912FE">
              <w:rPr>
                <w:rFonts w:ascii="Liberation Serif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90,3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9E4AEE" w:rsidRPr="00D912FE" w:rsidTr="009C48B9">
        <w:trPr>
          <w:trHeight w:val="300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</w:tcPr>
          <w:p w:rsidR="009E4AEE" w:rsidRPr="00D912FE" w:rsidRDefault="009E4AEE" w:rsidP="00391AA8">
            <w:pPr>
              <w:spacing w:after="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сфере образования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proofErr w:type="spellStart"/>
            <w:r w:rsidRPr="00D912FE">
              <w:rPr>
                <w:rFonts w:ascii="Liberation Serif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93,2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  <w:tr w:rsidR="009E4AEE" w:rsidRPr="00D912FE" w:rsidTr="009C48B9">
        <w:trPr>
          <w:trHeight w:val="511"/>
        </w:trPr>
        <w:tc>
          <w:tcPr>
            <w:tcW w:w="582" w:type="dxa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4096" w:type="dxa"/>
            <w:shd w:val="clear" w:color="000000" w:fill="FFFFFF"/>
          </w:tcPr>
          <w:p w:rsidR="009E4AEE" w:rsidRPr="00D912FE" w:rsidRDefault="009E4AEE" w:rsidP="00391AA8">
            <w:pPr>
              <w:spacing w:after="240" w:line="240" w:lineRule="auto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в сфере социального обслуживания</w:t>
            </w:r>
          </w:p>
        </w:tc>
        <w:tc>
          <w:tcPr>
            <w:tcW w:w="1560" w:type="dxa"/>
            <w:gridSpan w:val="2"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D912FE">
              <w:rPr>
                <w:rFonts w:ascii="Liberation Serif" w:hAnsi="Liberation Serif" w:cs="Liberation Serif"/>
                <w:lang w:eastAsia="ru-RU"/>
              </w:rPr>
              <w:t>баллы</w:t>
            </w:r>
          </w:p>
        </w:tc>
        <w:tc>
          <w:tcPr>
            <w:tcW w:w="1134" w:type="dxa"/>
            <w:gridSpan w:val="2"/>
            <w:shd w:val="clear" w:color="000000" w:fill="FFFFFF"/>
            <w:noWrap/>
          </w:tcPr>
          <w:p w:rsidR="009E4AEE" w:rsidRPr="00D912FE" w:rsidRDefault="009E4AEE" w:rsidP="009C48B9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  <w:proofErr w:type="spellStart"/>
            <w:r w:rsidRPr="00D912FE">
              <w:rPr>
                <w:rFonts w:ascii="Liberation Serif" w:hAnsi="Liberation Serif" w:cs="Liberation Serif"/>
                <w:lang w:eastAsia="ru-RU"/>
              </w:rPr>
              <w:t>х</w:t>
            </w:r>
            <w:proofErr w:type="spellEnd"/>
          </w:p>
        </w:tc>
        <w:tc>
          <w:tcPr>
            <w:tcW w:w="1275" w:type="dxa"/>
            <w:gridSpan w:val="2"/>
            <w:shd w:val="clear" w:color="000000" w:fill="FFFFFF"/>
            <w:noWrap/>
          </w:tcPr>
          <w:p w:rsidR="009E4AEE" w:rsidRDefault="009E4AEE" w:rsidP="009C48B9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96,14</w:t>
            </w:r>
          </w:p>
        </w:tc>
        <w:tc>
          <w:tcPr>
            <w:tcW w:w="7386" w:type="dxa"/>
            <w:gridSpan w:val="2"/>
            <w:vMerge/>
            <w:shd w:val="clear" w:color="000000" w:fill="FFFFFF"/>
          </w:tcPr>
          <w:p w:rsidR="009E4AEE" w:rsidRPr="00D912FE" w:rsidRDefault="009E4AEE" w:rsidP="002B5CFA">
            <w:pPr>
              <w:spacing w:after="0" w:line="240" w:lineRule="auto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</w:tr>
    </w:tbl>
    <w:p w:rsidR="007964A2" w:rsidRDefault="007964A2"/>
    <w:sectPr w:rsidR="007964A2" w:rsidSect="00F834B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CFA"/>
    <w:rsid w:val="00017D19"/>
    <w:rsid w:val="001E7C3E"/>
    <w:rsid w:val="002B5CFA"/>
    <w:rsid w:val="002E23E3"/>
    <w:rsid w:val="00391AA8"/>
    <w:rsid w:val="00414F4A"/>
    <w:rsid w:val="00421D8A"/>
    <w:rsid w:val="004B5C79"/>
    <w:rsid w:val="0054432D"/>
    <w:rsid w:val="005500FA"/>
    <w:rsid w:val="006551B1"/>
    <w:rsid w:val="006A500F"/>
    <w:rsid w:val="007964A2"/>
    <w:rsid w:val="00862C33"/>
    <w:rsid w:val="0089168D"/>
    <w:rsid w:val="008D0EE9"/>
    <w:rsid w:val="00904527"/>
    <w:rsid w:val="009C48B9"/>
    <w:rsid w:val="009E4AEE"/>
    <w:rsid w:val="00A631CD"/>
    <w:rsid w:val="00B50306"/>
    <w:rsid w:val="00BE48F7"/>
    <w:rsid w:val="00C91867"/>
    <w:rsid w:val="00CA65E6"/>
    <w:rsid w:val="00D06675"/>
    <w:rsid w:val="00D912FE"/>
    <w:rsid w:val="00DF2A1F"/>
    <w:rsid w:val="00E04D76"/>
    <w:rsid w:val="00E3036F"/>
    <w:rsid w:val="00E319BD"/>
    <w:rsid w:val="00E92699"/>
    <w:rsid w:val="00F07AA9"/>
    <w:rsid w:val="00F15CF4"/>
    <w:rsid w:val="00F50A63"/>
    <w:rsid w:val="00F834B1"/>
    <w:rsid w:val="00FC31EB"/>
    <w:rsid w:val="00FE455C"/>
    <w:rsid w:val="00FE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E4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5331</Words>
  <Characters>30390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kolesnikova</dc:creator>
  <cp:lastModifiedBy>kolesnikova</cp:lastModifiedBy>
  <cp:revision>4</cp:revision>
  <cp:lastPrinted>2023-04-28T04:22:00Z</cp:lastPrinted>
  <dcterms:created xsi:type="dcterms:W3CDTF">2023-04-26T05:10:00Z</dcterms:created>
  <dcterms:modified xsi:type="dcterms:W3CDTF">2023-04-28T04:22:00Z</dcterms:modified>
</cp:coreProperties>
</file>