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публичном обсуждении проекта постановления администрации Серовского городского округа «О внесении изменений в административный регламент предоставления муниципальной услуги «Выдача разрешения на ввод объекта в эксплуатацию, утвержденный постановлением администрации Серовского городского округа от 10.11.2022 № 1559» и проекта изменений в административный регламент предоставления муниципальной услуги «Выдача разрешения на ввод объекта в эксплуатацию»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01/07/03-24/00013689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"http://regulation.midural.ru/projects#npa=13689"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http://regulation.midural.ru/projects#npa=13689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22.03.2024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04.04.2024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16.04.2024 в 11:20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